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7E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на территории Вилючинского городского округа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numPr>
          <w:ilvl w:val="1"/>
          <w:numId w:val="7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Вилючинского городского округа (далее – рабочая группа).</w:t>
      </w:r>
    </w:p>
    <w:p w:rsidR="007952B5" w:rsidRPr="002A07E0" w:rsidRDefault="007952B5" w:rsidP="007952B5">
      <w:pPr>
        <w:numPr>
          <w:ilvl w:val="1"/>
          <w:numId w:val="7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органов местного самоуправления Вилючинского городского округа с иными органами и организациями,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созданном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при администрации Вилючинского городского округа.</w:t>
      </w:r>
    </w:p>
    <w:p w:rsidR="007952B5" w:rsidRPr="002A07E0" w:rsidRDefault="007952B5" w:rsidP="007952B5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1.3. Целями деятельности рабочей группы являются:</w:t>
      </w:r>
    </w:p>
    <w:p w:rsidR="007952B5" w:rsidRPr="002A07E0" w:rsidRDefault="007952B5" w:rsidP="007952B5">
      <w:pPr>
        <w:numPr>
          <w:ilvl w:val="0"/>
          <w:numId w:val="5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Вилючинского городского округа в рамках реализации положений Федерального </w:t>
      </w:r>
      <w:hyperlink r:id="rId6" w:history="1">
        <w:r w:rsidRPr="002A07E0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7952B5" w:rsidRPr="002A07E0" w:rsidRDefault="007952B5" w:rsidP="007952B5">
      <w:pPr>
        <w:numPr>
          <w:ilvl w:val="0"/>
          <w:numId w:val="5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изыскание дополнительных источников имущества для формирования и расширения перечня муниципального имущества, предусмотренного частью 4 статьи 18 Закона № 209-ФЗ (далее – перечень муниципального имущества), в том числе за счет неиспользуемого, неэффективно используемого или используемого не по назначению муниципального имущества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952B5" w:rsidRPr="002A07E0" w:rsidRDefault="007952B5" w:rsidP="007952B5">
      <w:pPr>
        <w:numPr>
          <w:ilvl w:val="0"/>
          <w:numId w:val="5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изучение и внедрение лучших практик оказания имущественной поддержки субъектам МСП Вилючинского городского округа.</w:t>
      </w:r>
    </w:p>
    <w:p w:rsidR="007952B5" w:rsidRPr="002A07E0" w:rsidRDefault="007952B5" w:rsidP="007952B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1.4.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Камчатского края и Вилючинского городского округа, а также настоящим Положением.</w:t>
      </w:r>
    </w:p>
    <w:p w:rsidR="007952B5" w:rsidRPr="002A07E0" w:rsidRDefault="007952B5" w:rsidP="007952B5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1.5.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952B5" w:rsidRPr="002A07E0" w:rsidRDefault="007952B5" w:rsidP="007952B5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 Задачи рабочей группы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spacing w:after="1" w:line="2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>2.1.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Координация оказания</w:t>
      </w:r>
      <w:r w:rsidRPr="002A07E0">
        <w:rPr>
          <w:rFonts w:ascii="Open Sans" w:eastAsia="Calibri" w:hAnsi="Open Sans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2A07E0">
        <w:rPr>
          <w:rFonts w:ascii="Times New Roman" w:eastAsia="Calibri" w:hAnsi="Times New Roman" w:cs="Times New Roman"/>
          <w:sz w:val="28"/>
          <w:szCs w:val="28"/>
        </w:rPr>
        <w:t>имущественной поддержки субъектам МСП на территории Вилючинского городского округа органом местного самоуправления</w:t>
      </w:r>
      <w:r w:rsidRPr="002A07E0">
        <w:rPr>
          <w:rFonts w:ascii="Times New Roman" w:eastAsia="Calibri" w:hAnsi="Times New Roman" w:cs="Times New Roman"/>
          <w:iCs/>
          <w:sz w:val="28"/>
          <w:szCs w:val="28"/>
        </w:rPr>
        <w:t xml:space="preserve"> Вилючинского городского округа.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анализа состава муниципального имущества для цели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выявления источников пополнения перечня муниципального имущества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результатам: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а) сбора сведений из реестров муниципального имущества, выписок из ЕГРН,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бесхозяйном и ином имуществе; </w:t>
      </w:r>
      <w:proofErr w:type="gramEnd"/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б) обследования объектов муниципального недвижимого имущества, в том числе земельных участков, на территории Вилючинского городского округа;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в) предложений субъектов МСП, заинтересованных в получении в аренду муниципального имущества, а также рассмотрение предложений, поступивших от органа местного самоуправления Вилючинского городского округа, муниципальных предприятий и учреждений, представителей общественности о дополнении перечня муниципального имущества.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2.3.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A07E0">
        <w:rPr>
          <w:rFonts w:ascii="Times New Roman" w:eastAsia="Calibri" w:hAnsi="Times New Roman" w:cs="Times New Roman"/>
          <w:sz w:val="28"/>
          <w:szCs w:val="28"/>
        </w:rPr>
        <w:t>Разработка годовых и квартальных планов мероприятий по оказанию имущественной поддержки субъектам МСП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2.4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Анализ состава перечня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Выработка рекомендаций и предложений по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оказанию имущественной поддержки субъектам МСП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по следующим вопросам</w:t>
      </w:r>
      <w:r w:rsidRPr="002A07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а) формированию и дополнению Перечня, расширению состава имущества, вовлекаемого в имущественную поддержку;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б) замене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аренды);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в) установлению льготных условий предоставления в аренду имущества, муниципальных преференций для субъектов МСП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;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г) нормативному правовому регулированию оказания имущественной поддержки субъектам МСП;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д) обеспечению информирования субъектов МСП об имущественной поддержке;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е) 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ж) 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2.6.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Взаимодействие с органами исполнительной власти Камчатского края,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и среднего предпринимательства.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2.7.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региональной и муниципальной практики. </w:t>
      </w:r>
    </w:p>
    <w:p w:rsidR="007952B5" w:rsidRPr="002A07E0" w:rsidRDefault="007952B5" w:rsidP="007952B5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 Полномочия рабочей группы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задач, предусмотренных </w:t>
      </w:r>
      <w:hyperlink w:anchor="P37" w:history="1">
        <w:r w:rsidRPr="002A07E0">
          <w:rPr>
            <w:rFonts w:ascii="Times New Roman" w:eastAsia="Calibri" w:hAnsi="Times New Roman" w:cs="Times New Roman"/>
            <w:sz w:val="28"/>
            <w:szCs w:val="28"/>
          </w:rPr>
          <w:t>разделом 2</w:t>
        </w:r>
      </w:hyperlink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рабочая группа имеет право:</w:t>
      </w:r>
    </w:p>
    <w:p w:rsidR="007952B5" w:rsidRPr="002A07E0" w:rsidRDefault="007952B5" w:rsidP="007952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952B5" w:rsidRPr="002A07E0" w:rsidRDefault="007952B5" w:rsidP="007952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Запрашивать информацию и материалы от подразделений органа местного самоуправления, муниципальных учреждений и предприятий, общественных объединений по вопросам, отнесенным к компетенции рабочей группы.</w:t>
      </w:r>
    </w:p>
    <w:p w:rsidR="007952B5" w:rsidRPr="002A07E0" w:rsidRDefault="007952B5" w:rsidP="007952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3.3.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Привлекать к работе рабочей группы представителей субъектов МСП, научных и общественных организаций и других организаций, а также специалистов.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Давать рекомендации органу местного самоуправления, по вопросам, отнесенным к компетенции рабочей группы.</w:t>
      </w:r>
    </w:p>
    <w:p w:rsidR="007952B5" w:rsidRPr="002A07E0" w:rsidRDefault="007952B5" w:rsidP="007952B5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4. Порядок деятельности рабочей группы 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Pr="002A07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A07E0">
        <w:rPr>
          <w:rFonts w:ascii="Times New Roman" w:eastAsia="Calibri" w:hAnsi="Times New Roman" w:cs="Times New Roman"/>
          <w:sz w:val="28"/>
          <w:szCs w:val="28"/>
        </w:rPr>
        <w:t>с правом совещательного голоса</w:t>
      </w:r>
      <w:r w:rsidRPr="002A07E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4.3.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Заседания рабочей группы проводятся в очной форме по мере необходимости, но не реже 1 раза в полугодие.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10 рабочих дней до даты проведения заседания в письменном виде. 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4.6.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Председатель рабочей группы:</w:t>
      </w:r>
    </w:p>
    <w:p w:rsidR="007952B5" w:rsidRPr="002A07E0" w:rsidRDefault="007952B5" w:rsidP="007952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организует деятельность рабочей группы;</w:t>
      </w:r>
    </w:p>
    <w:p w:rsidR="007952B5" w:rsidRPr="002A07E0" w:rsidRDefault="007952B5" w:rsidP="007952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7952B5" w:rsidRPr="002A07E0" w:rsidRDefault="007952B5" w:rsidP="007952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7952B5" w:rsidRPr="002A07E0" w:rsidRDefault="007952B5" w:rsidP="007952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ведет заседания рабочей группы;</w:t>
      </w:r>
    </w:p>
    <w:p w:rsidR="007952B5" w:rsidRPr="002A07E0" w:rsidRDefault="007952B5" w:rsidP="007952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7952B5" w:rsidRPr="002A07E0" w:rsidRDefault="007952B5" w:rsidP="007952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952B5" w:rsidRPr="002A07E0" w:rsidRDefault="007952B5" w:rsidP="007952B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7952B5" w:rsidRPr="002A07E0" w:rsidRDefault="007952B5" w:rsidP="00795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4.7.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Секретарь рабочей группы:</w:t>
      </w:r>
    </w:p>
    <w:p w:rsidR="007952B5" w:rsidRPr="002A07E0" w:rsidRDefault="007952B5" w:rsidP="00795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7952B5" w:rsidRPr="002A07E0" w:rsidRDefault="007952B5" w:rsidP="00795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952B5" w:rsidRPr="002A07E0" w:rsidRDefault="007952B5" w:rsidP="00795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952B5" w:rsidRPr="002A07E0" w:rsidRDefault="007952B5" w:rsidP="00795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оформляет протоколы заседаний рабочей группы;</w:t>
      </w:r>
    </w:p>
    <w:p w:rsidR="007952B5" w:rsidRPr="002A07E0" w:rsidRDefault="007952B5" w:rsidP="00795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ведет делопроизводство рабочей группы;</w:t>
      </w:r>
    </w:p>
    <w:p w:rsidR="007952B5" w:rsidRPr="002A07E0" w:rsidRDefault="007952B5" w:rsidP="00795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7952B5" w:rsidRPr="002A07E0" w:rsidRDefault="007952B5" w:rsidP="00795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4.8.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Члены рабочей группы: </w:t>
      </w:r>
    </w:p>
    <w:p w:rsidR="007952B5" w:rsidRPr="002A07E0" w:rsidRDefault="007952B5" w:rsidP="007952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7952B5" w:rsidRPr="002A07E0" w:rsidRDefault="007952B5" w:rsidP="007952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7952B5" w:rsidRPr="002A07E0" w:rsidRDefault="007952B5" w:rsidP="007952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7952B5" w:rsidRPr="002A07E0" w:rsidRDefault="007952B5" w:rsidP="007952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4.9.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4.10.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При отсутствии кворума рабочей группы созывает повторное заседание рабочей группы. 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4.13.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</w:t>
      </w:r>
      <w:r w:rsidRPr="002A07E0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менее 1/2 </w:t>
      </w: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 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4.16.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Решения рабочей группы являются обязательными для их выполнения членами рабочей группы, и носят рекомендательный характер для органа местного самоуправления.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4.17.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Протокол заседания рабочей группы оформляется секретарем Рабочей группы в течение 2 рабочих дней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с даты проведения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4.18.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 протоколе заседания рабочей группы указываются:</w:t>
      </w:r>
    </w:p>
    <w:p w:rsidR="007952B5" w:rsidRPr="002A07E0" w:rsidRDefault="007952B5" w:rsidP="007952B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7952B5" w:rsidRPr="002A07E0" w:rsidRDefault="007952B5" w:rsidP="007952B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номер протокола;</w:t>
      </w:r>
    </w:p>
    <w:p w:rsidR="007952B5" w:rsidRPr="002A07E0" w:rsidRDefault="007952B5" w:rsidP="007952B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952B5" w:rsidRPr="002A07E0" w:rsidRDefault="007952B5" w:rsidP="007952B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7952B5" w:rsidRPr="002A07E0" w:rsidRDefault="007952B5" w:rsidP="007952B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4.19.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5. Организационно-техническое обеспечение 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деятельности рабочей группы</w:t>
      </w:r>
    </w:p>
    <w:p w:rsidR="007952B5" w:rsidRPr="002A07E0" w:rsidRDefault="007952B5" w:rsidP="007952B5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Организационно – техническое обеспечение деятельности рабочей группы осуществляет отдел по управлению муниципальным имуществом администрации Вилючинского городского округа.</w:t>
      </w: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7952B5" w:rsidRPr="002A07E0" w:rsidRDefault="007952B5" w:rsidP="007952B5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2B5" w:rsidRPr="002A07E0" w:rsidRDefault="007952B5" w:rsidP="0079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6.1.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действует на постоянной основе, в составе согласно приложению №1 к настоящему постановлению.</w:t>
      </w:r>
    </w:p>
    <w:p w:rsidR="007952B5" w:rsidRDefault="007952B5" w:rsidP="007952B5">
      <w:pPr>
        <w:ind w:firstLine="567"/>
      </w:pPr>
    </w:p>
    <w:p w:rsidR="00CB78C2" w:rsidRDefault="00CB78C2">
      <w:bookmarkStart w:id="0" w:name="_GoBack"/>
      <w:bookmarkEnd w:id="0"/>
    </w:p>
    <w:sectPr w:rsidR="00CB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A"/>
    <w:rsid w:val="007952B5"/>
    <w:rsid w:val="00CB78C2"/>
    <w:rsid w:val="00D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2023-04-04T05:42:00Z</dcterms:created>
  <dcterms:modified xsi:type="dcterms:W3CDTF">2023-04-04T05:42:00Z</dcterms:modified>
</cp:coreProperties>
</file>