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6727" w:leader="none"/>
        </w:tabs>
        <w:jc w:val="center"/>
        <w:rPr>
          <w:b/>
          <w:sz w:val="28"/>
        </w:rPr>
      </w:pPr>
      <w:r>
        <w:rPr>
          <w:b/>
          <w:sz w:val="28"/>
        </w:rPr>
        <w:t>ОТЧЕТ О ДОСТИГНУТЫХ ПОКАЗАТЕЛЯХ ПЛАНА МЕРОПРИЯТИЙ («дорожной карты»)</w:t>
      </w:r>
    </w:p>
    <w:p>
      <w:pPr>
        <w:pStyle w:val="Normal"/>
        <w:jc w:val="center"/>
        <w:rPr>
          <w:sz w:val="16"/>
          <w:szCs w:val="16"/>
        </w:rPr>
      </w:pPr>
      <w:r>
        <w:rPr>
          <w:b/>
          <w:sz w:val="28"/>
        </w:rPr>
        <w:t>по содействию развитию конкуренции в Вилючинском городском округе в 2024 году</w:t>
      </w:r>
    </w:p>
    <w:tbl>
      <w:tblPr>
        <w:tblW w:w="1607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4"/>
        <w:gridCol w:w="3630"/>
        <w:gridCol w:w="2550"/>
        <w:gridCol w:w="2696"/>
        <w:gridCol w:w="1119"/>
        <w:gridCol w:w="159"/>
        <w:gridCol w:w="21"/>
        <w:gridCol w:w="954"/>
        <w:gridCol w:w="1418"/>
        <w:gridCol w:w="2775"/>
      </w:tblGrid>
      <w:tr>
        <w:trPr>
          <w:trHeight w:val="880" w:hRule="atLeast"/>
        </w:trPr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Наименование</w:t>
            </w:r>
          </w:p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Решаемая проблема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Наименование контрольного показателя эффективности, единица измерения</w:t>
            </w:r>
          </w:p>
        </w:tc>
        <w:tc>
          <w:tcPr>
            <w:tcW w:w="2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Значение КПЭ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Фактическое исполнение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Результат</w:t>
            </w:r>
          </w:p>
        </w:tc>
      </w:tr>
      <w:tr>
        <w:trPr/>
        <w:tc>
          <w:tcPr>
            <w:tcW w:w="7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6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2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Отчетная дата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Значение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</w:tr>
      <w:tr>
        <w:trPr>
          <w:trHeight w:val="503" w:hRule="atLeast"/>
        </w:trPr>
        <w:tc>
          <w:tcPr>
            <w:tcW w:w="160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Системные мероприятия по развитию конкурентной среды (муниципальные)</w:t>
            </w:r>
          </w:p>
        </w:tc>
      </w:tr>
      <w:tr>
        <w:trPr>
          <w:trHeight w:val="880" w:hRule="atLeast"/>
        </w:trPr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№</w:t>
            </w:r>
          </w:p>
        </w:tc>
        <w:tc>
          <w:tcPr>
            <w:tcW w:w="3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мероприятия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Решаемая проблема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Наименование контрольного показателя эффективности, единица измерения</w:t>
            </w:r>
          </w:p>
        </w:tc>
        <w:tc>
          <w:tcPr>
            <w:tcW w:w="2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Значение КПЭ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Фактическое исполнение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Результат</w:t>
            </w:r>
          </w:p>
        </w:tc>
      </w:tr>
      <w:tr>
        <w:trPr/>
        <w:tc>
          <w:tcPr>
            <w:tcW w:w="7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6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2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Отчетная дата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Значение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51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51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51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51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51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51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51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51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</w:tr>
      <w:tr>
        <w:trPr>
          <w:trHeight w:val="2581" w:hRule="atLeast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  <w:lang w:val="en-US"/>
              </w:rPr>
              <w:t>.1.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оценки регулирующего воздействия проектов муниципальных нормативных правовых актов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 (в том числе негативно воздействующих на состояние конкуренции)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Избыточные ограничения для деятельности субъектов предпринимательства на муниципальном уровне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eastAsia="Calibri"/>
                <w:sz w:val="20"/>
                <w:szCs w:val="20"/>
                <w:lang w:eastAsia="en-US"/>
              </w:rPr>
              <w:t>Доля прошедших процедуру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деятельности, процентов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31.12.2024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Отсутствие муниципальных нормативных правовых актов, негативно воздействующих на конкуренцию</w:t>
            </w:r>
          </w:p>
        </w:tc>
      </w:tr>
      <w:tr>
        <w:trPr>
          <w:trHeight w:val="1408" w:hRule="atLeast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1.2.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экспертизы муниципальных нормативных правовых актов Вилючинского городского округа,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положений, необоснованно затрудняющих ведение предпринимательской и инвестиционной деятельности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 xml:space="preserve">Доля муниципальных нормативных правовых актов Вилючинского городского округа, </w:t>
              <w:br/>
              <w:t>по которым проведена экспертиза, в общем объёме муниципальных нормативных правовых актов Вилючинского городского округа, подлежащих экспертизе в соответствии с утвержденным планом проведения экспертизы муниципальных нормативных правовых актов Вилючинского городского округа на соответствующий год, процентов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31.12.202</w:t>
            </w: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Отсутствие муниципальных нормативных правовых актов, негативно воздействующих на конкуренцию</w:t>
            </w:r>
          </w:p>
        </w:tc>
      </w:tr>
      <w:tr>
        <w:trPr>
          <w:trHeight w:val="2248" w:hRule="atLeast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1.3.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Организация и проведение публичных торгов или иных конкурентных способов определения поставщиков (подрядчиков, исполнителей) при реализации или предоставлении во владение и (или) пользование, в том числе СМСП, имущества хозяйствующими субъектами, доля участия муниципального образования в которых составляет 50 и более процентов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Низкая активность частных организаций при проведении публичных торгов муниципального имущества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Доля хозяйствующих субъектов с муниципальным участием, использующих конкурентные процедуры (публичные торги) при совершении сделок со своим имуществом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31.12.2024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 2024 году публичные торги или иные конкурентные способы определения поставщиков (подрядчиков, исполнителей) при реализации или предоставлении во владение и (или) пользование, в том числе СМСП, имущества хозяйствующими субъектами, доля участия муниципального образования в которых составляет 50 и более процентов не проводились.</w:t>
            </w:r>
          </w:p>
        </w:tc>
      </w:tr>
      <w:tr>
        <w:trPr>
          <w:trHeight w:val="2248" w:hRule="atLeast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1.4.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Опубликование и актуализация на странице Министерства имущественных и земельных отношений Камчатского края официального сайта исполнительных органов государственной власти Камчатского края в информационно-телекоммуникационной сети «Интернет», а также на официальном сайте органов местного самоуправления Вилючинского городского округа  сведений об объектах, учтенных в реестрах муниципального имущества, а также информации о реализации указанного имущества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Недостаточный уровень эффективности управления муниципальным имуществом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Отчет о проведенной работе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31.12.2024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Перечень муниципального имущества Вилючинского городского округа,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размещен на странице Министерства имущественных и земельных отношений Камчатского края официального сайта исполнительных органов государственной власти Камчатского края (</w:t>
            </w:r>
            <w:hyperlink r:id="rId2">
              <w:r>
                <w:rPr>
                  <w:rStyle w:val="Hyperlink"/>
                  <w:rFonts w:eastAsia="Calibri"/>
                  <w:sz w:val="20"/>
                  <w:szCs w:val="20"/>
                  <w:lang w:eastAsia="en-US"/>
                </w:rPr>
                <w:t>https://mingosim.kamgov.ru/perecen-municipalnogo-imusestva</w:t>
              </w:r>
            </w:hyperlink>
            <w:r>
              <w:rPr>
                <w:rFonts w:eastAsia="Calibri"/>
                <w:sz w:val="20"/>
                <w:szCs w:val="20"/>
                <w:lang w:eastAsia="en-US"/>
              </w:rPr>
              <w:t>), на официальном сайте органов местного самоуправления Вилючинского городского в информационно-телекоммуникационной сети «Интернет» (https://viluchinsk-city.ru/housing/imushchestvennaya_podderzhka_SMP)</w:t>
            </w:r>
          </w:p>
        </w:tc>
      </w:tr>
      <w:tr>
        <w:trPr>
          <w:trHeight w:val="2248" w:hRule="atLeast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1.5.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iCs/>
                <w:sz w:val="20"/>
                <w:szCs w:val="20"/>
                <w:lang w:eastAsia="en-US"/>
              </w:rPr>
            </w:pPr>
            <w:r>
              <w:rPr>
                <w:rFonts w:eastAsia="Calibri"/>
                <w:iCs/>
                <w:sz w:val="20"/>
                <w:szCs w:val="20"/>
                <w:lang w:eastAsia="en-US"/>
              </w:rPr>
              <w:t>Утверждение и дополнение перечней муниципального имущества, свободного от прав третьих лиц, предназначенного для предоставления СМСП во владение и (или) пользование на долгосрочной основе (далее - перечни муниципального имущества)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Высокая потребность у СМСП в помещениях (объектах недвижимого имущества), необходимых для осуществления предпринимательской деятельности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left="34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объектов в перечнях муниципального имущества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31.12.2024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Перечень муниципального имущества Вилючинского городского округа,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актуализирован</w:t>
            </w:r>
            <w:bookmarkStart w:id="0" w:name="_GoBack"/>
            <w:bookmarkEnd w:id="0"/>
            <w:r>
              <w:rPr>
                <w:rFonts w:eastAsia="Calibri"/>
                <w:sz w:val="20"/>
                <w:szCs w:val="20"/>
                <w:lang w:eastAsia="en-US"/>
              </w:rPr>
              <w:t xml:space="preserve"> и размещен на официальном сайте органов местного самоуправления Вилючинского городского в информационно-телекоммуникационной сети «Интернет» (</w:t>
            </w:r>
            <w:r>
              <w:rPr>
                <w:rStyle w:val="Hyperlink"/>
                <w:rFonts w:eastAsia="Calibri"/>
                <w:sz w:val="20"/>
                <w:szCs w:val="20"/>
                <w:lang w:eastAsia="en-US"/>
              </w:rPr>
              <w:t>https://viluchinsk-city.ru/housing/imushchestvennaya_podderzhka_SMP</w:t>
            </w:r>
            <w:r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</w:tr>
      <w:tr>
        <w:trPr>
          <w:trHeight w:val="575" w:hRule="atLeast"/>
        </w:trPr>
        <w:tc>
          <w:tcPr>
            <w:tcW w:w="160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center"/>
              <w:rPr>
                <w:rFonts w:eastAsia="Calibri"/>
                <w:kern w:val="2"/>
                <w:sz w:val="20"/>
                <w:szCs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szCs w:val="20"/>
                <w:lang w:eastAsia="en-US"/>
              </w:rPr>
              <w:t>Развитие конкуренции на рынках товаров, работ и услуг, утвержденных Стандартом развития конкуренции в субъектах Российской Федерации (распоряжение Правительства Российской Федерации от 17.04.2019 № 768-р)</w:t>
            </w:r>
          </w:p>
        </w:tc>
      </w:tr>
      <w:tr>
        <w:trPr>
          <w:trHeight w:val="138" w:hRule="atLeast"/>
        </w:trPr>
        <w:tc>
          <w:tcPr>
            <w:tcW w:w="160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1"/>
                <w:numId w:val="1"/>
              </w:num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Рынок услуг в сфере культуры</w:t>
            </w:r>
          </w:p>
          <w:tbl>
            <w:tblPr>
              <w:tblW w:w="15191" w:type="dxa"/>
              <w:jc w:val="center"/>
              <w:tblInd w:w="0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noHBand="0" w:noVBand="1" w:firstColumn="1" w:lastRow="0" w:lastColumn="0" w:firstRow="1"/>
            </w:tblPr>
            <w:tblGrid>
              <w:gridCol w:w="7598"/>
              <w:gridCol w:w="1844"/>
              <w:gridCol w:w="1925"/>
              <w:gridCol w:w="26"/>
              <w:gridCol w:w="1961"/>
              <w:gridCol w:w="1837"/>
            </w:tblGrid>
            <w:tr>
              <w:trPr>
                <w:trHeight w:val="265" w:hRule="atLeast"/>
              </w:trPr>
              <w:tc>
                <w:tcPr>
                  <w:tcW w:w="759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Наименование ключевого показателя</w:t>
                  </w:r>
                </w:p>
              </w:tc>
              <w:tc>
                <w:tcPr>
                  <w:tcW w:w="7593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Целевое значение ключевого показателя</w:t>
                  </w:r>
                </w:p>
              </w:tc>
            </w:tr>
            <w:tr>
              <w:trPr>
                <w:trHeight w:val="458" w:hRule="atLeast"/>
              </w:trPr>
              <w:tc>
                <w:tcPr>
                  <w:tcW w:w="7598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eastAsia="en-US"/>
                    </w:rPr>
                  </w:r>
                </w:p>
              </w:tc>
              <w:tc>
                <w:tcPr>
                  <w:tcW w:w="379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jc w:val="center"/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01.01.2022</w:t>
                  </w:r>
                </w:p>
              </w:tc>
              <w:tc>
                <w:tcPr>
                  <w:tcW w:w="379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jc w:val="center"/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на 31.12.2025</w:t>
                  </w:r>
                </w:p>
              </w:tc>
            </w:tr>
            <w:tr>
              <w:trPr>
                <w:trHeight w:val="561" w:hRule="atLeast"/>
              </w:trPr>
              <w:tc>
                <w:tcPr>
                  <w:tcW w:w="7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Доля субъектов предпринимательской деятельности в сфере культуры на территории Вилючинского городского </w:t>
                  </w:r>
                  <w:r>
                    <w:rPr>
                      <w:rFonts w:eastAsia="Calibri"/>
                      <w:sz w:val="20"/>
                      <w:szCs w:val="20"/>
                      <w:lang w:eastAsia="en-US"/>
                    </w:rPr>
                    <w:t>от общего количества субъектов малого и среднего предпринимательства Вилючинского городского округа, процентов</w:t>
                  </w:r>
                </w:p>
              </w:tc>
              <w:tc>
                <w:tcPr>
                  <w:tcW w:w="379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0,7</w:t>
                  </w:r>
                </w:p>
              </w:tc>
              <w:tc>
                <w:tcPr>
                  <w:tcW w:w="379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0,9</w:t>
                  </w:r>
                </w:p>
              </w:tc>
            </w:tr>
            <w:tr>
              <w:trPr>
                <w:trHeight w:val="250" w:hRule="atLeast"/>
              </w:trPr>
              <w:tc>
                <w:tcPr>
                  <w:tcW w:w="7598" w:type="dxa"/>
                  <w:tcBorders>
                    <w:top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rPr>
                      <w:rFonts w:eastAsia="Calibri"/>
                      <w:kern w:val="2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kern w:val="2"/>
                      <w:sz w:val="20"/>
                      <w:szCs w:val="20"/>
                      <w:lang w:eastAsia="en-US"/>
                    </w:rPr>
                  </w:r>
                </w:p>
              </w:tc>
              <w:tc>
                <w:tcPr>
                  <w:tcW w:w="1844" w:type="dxa"/>
                  <w:tcBorders>
                    <w:top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eastAsia="en-US"/>
                    </w:rPr>
                  </w:r>
                </w:p>
              </w:tc>
              <w:tc>
                <w:tcPr>
                  <w:tcW w:w="1925" w:type="dxa"/>
                  <w:tcBorders>
                    <w:top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eastAsia="en-US"/>
                    </w:rPr>
                  </w:r>
                </w:p>
              </w:tc>
              <w:tc>
                <w:tcPr>
                  <w:tcW w:w="1987" w:type="dxa"/>
                  <w:gridSpan w:val="2"/>
                  <w:tcBorders>
                    <w:top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eastAsia="en-US"/>
                    </w:rPr>
                  </w:r>
                </w:p>
              </w:tc>
              <w:tc>
                <w:tcPr>
                  <w:tcW w:w="1837" w:type="dxa"/>
                  <w:tcBorders>
                    <w:top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eastAsia="en-US"/>
                    </w:rPr>
                  </w:r>
                </w:p>
              </w:tc>
            </w:tr>
          </w:tbl>
          <w:p>
            <w:pPr>
              <w:pStyle w:val="Normal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</w:tc>
      </w:tr>
      <w:tr>
        <w:trPr>
          <w:trHeight w:val="880" w:hRule="atLeast"/>
        </w:trPr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Наименование</w:t>
            </w:r>
          </w:p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Решаемая проблема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Наименование контрольного показателя эффективности, единица измерения</w:t>
            </w:r>
          </w:p>
        </w:tc>
        <w:tc>
          <w:tcPr>
            <w:tcW w:w="2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Значение КПЭ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Фактическое исполнение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Результат</w:t>
            </w:r>
          </w:p>
        </w:tc>
      </w:tr>
      <w:tr>
        <w:trPr/>
        <w:tc>
          <w:tcPr>
            <w:tcW w:w="7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6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2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Отчетная дата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Значение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</w:tr>
      <w:tr>
        <w:trPr/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2.1.1.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Актуализация банка данных организаций, участвующих в оказании услуг в сфере культуры для населения, и его размещение на официальном сайте органов местного самоуправления Вилючинского городского округа в информационно-телекоммуникационной сети «Интернет»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Недостаточность информации о деятельности в сфере культуры и спорта негосударственных (немуниципальных) организаций, способных обеспечить социально-культурное развитие в Вилючинском городском округе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актуализаций банка данных организаций, участвующих в оказании услуг в сфере культуры для населения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31.12.2024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Реестр субъектов малого и среднего предпринимательства - потенциальных поставщиков услуг в сфере культуры размещен на официальном сайте органов местного самоуправления Вилючинского городского округа https://viluchinsk-city.ru/kultura/uchr.php</w:t>
            </w:r>
          </w:p>
        </w:tc>
      </w:tr>
      <w:tr>
        <w:trPr/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2.1.2.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Организация и проведение культурно-досуговых мероприятий с привлечением субъектов малого и среднего предпринимательства, осуществляющих деятельность в сфере культуры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Увеличение количества субъектов предпринимательской деятельности в сфере культуры, принявших участие в общегородских культурно-массовых мероприятиях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общегородских культурно-массовых мероприятий с участием в них субъектов предпринимательской деятельности в сфере культуры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31.12.2024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Общегородские культурно-массовые мероприятия проводились в том числе с участием субъектов предпринимательской деятельности в сфере культуры</w:t>
            </w:r>
          </w:p>
        </w:tc>
      </w:tr>
      <w:tr>
        <w:trPr>
          <w:trHeight w:val="516" w:hRule="atLeast"/>
        </w:trPr>
        <w:tc>
          <w:tcPr>
            <w:tcW w:w="160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1"/>
                <w:numId w:val="1"/>
              </w:num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Рынок социальных услуг</w:t>
            </w:r>
          </w:p>
          <w:tbl>
            <w:tblPr>
              <w:tblW w:w="15197" w:type="dxa"/>
              <w:jc w:val="center"/>
              <w:tblInd w:w="0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noHBand="0" w:noVBand="1" w:firstColumn="1" w:lastRow="0" w:lastColumn="0" w:firstRow="1"/>
            </w:tblPr>
            <w:tblGrid>
              <w:gridCol w:w="7598"/>
              <w:gridCol w:w="1842"/>
              <w:gridCol w:w="1927"/>
              <w:gridCol w:w="30"/>
              <w:gridCol w:w="1956"/>
              <w:gridCol w:w="1844"/>
            </w:tblGrid>
            <w:tr>
              <w:trPr>
                <w:trHeight w:val="265" w:hRule="atLeast"/>
              </w:trPr>
              <w:tc>
                <w:tcPr>
                  <w:tcW w:w="759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Наименование ключевого показателя</w:t>
                  </w:r>
                </w:p>
              </w:tc>
              <w:tc>
                <w:tcPr>
                  <w:tcW w:w="7599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Целевое значение ключевого показателя</w:t>
                  </w:r>
                </w:p>
              </w:tc>
            </w:tr>
            <w:tr>
              <w:trPr>
                <w:trHeight w:val="458" w:hRule="atLeast"/>
              </w:trPr>
              <w:tc>
                <w:tcPr>
                  <w:tcW w:w="7598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eastAsia="en-US"/>
                    </w:rPr>
                  </w:r>
                </w:p>
              </w:tc>
              <w:tc>
                <w:tcPr>
                  <w:tcW w:w="379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jc w:val="center"/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01.01.2022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jc w:val="center"/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на 31.12.2025</w:t>
                  </w:r>
                </w:p>
              </w:tc>
            </w:tr>
            <w:tr>
              <w:trPr>
                <w:trHeight w:val="639" w:hRule="atLeast"/>
              </w:trPr>
              <w:tc>
                <w:tcPr>
                  <w:tcW w:w="7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eastAsia="en-US"/>
                    </w:rPr>
                    <w:t>Доля негосударственных организаций, предоставляющих социальные услуги от общего числа организаций оказывающих социальные услуги на территории Вилючинского городского округа, процентов</w:t>
                  </w:r>
                </w:p>
              </w:tc>
              <w:tc>
                <w:tcPr>
                  <w:tcW w:w="379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0,75</w:t>
                  </w:r>
                </w:p>
              </w:tc>
            </w:tr>
            <w:tr>
              <w:trPr>
                <w:trHeight w:val="250" w:hRule="atLeast"/>
              </w:trPr>
              <w:tc>
                <w:tcPr>
                  <w:tcW w:w="7598" w:type="dxa"/>
                  <w:tcBorders>
                    <w:top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rPr>
                      <w:rFonts w:eastAsia="Calibri"/>
                      <w:kern w:val="2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kern w:val="2"/>
                      <w:sz w:val="20"/>
                      <w:szCs w:val="20"/>
                      <w:lang w:eastAsia="en-US"/>
                    </w:rPr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eastAsia="en-US"/>
                    </w:rPr>
                  </w:r>
                </w:p>
              </w:tc>
              <w:tc>
                <w:tcPr>
                  <w:tcW w:w="1927" w:type="dxa"/>
                  <w:tcBorders>
                    <w:top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eastAsia="en-US"/>
                    </w:rPr>
                  </w:r>
                </w:p>
              </w:tc>
              <w:tc>
                <w:tcPr>
                  <w:tcW w:w="1986" w:type="dxa"/>
                  <w:gridSpan w:val="2"/>
                  <w:tcBorders>
                    <w:top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eastAsia="en-US"/>
                    </w:rPr>
                  </w:r>
                </w:p>
              </w:tc>
              <w:tc>
                <w:tcPr>
                  <w:tcW w:w="1844" w:type="dxa"/>
                  <w:tcBorders>
                    <w:top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259" w:before="0" w:after="16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eastAsia="en-US"/>
                    </w:rPr>
                  </w:r>
                </w:p>
              </w:tc>
            </w:tr>
          </w:tbl>
          <w:p>
            <w:pPr>
              <w:pStyle w:val="Normal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</w:tc>
      </w:tr>
      <w:tr>
        <w:trPr>
          <w:trHeight w:val="880" w:hRule="atLeast"/>
        </w:trPr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Наименование</w:t>
            </w:r>
          </w:p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Решаемая проблема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Наименование контрольного показателя эффективности, единица измерения</w:t>
            </w:r>
          </w:p>
        </w:tc>
        <w:tc>
          <w:tcPr>
            <w:tcW w:w="2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Значние КПЭ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Фактическое исполнение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Результат</w:t>
            </w:r>
          </w:p>
        </w:tc>
      </w:tr>
      <w:tr>
        <w:trPr/>
        <w:tc>
          <w:tcPr>
            <w:tcW w:w="7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6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2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Отчетная дата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Значение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</w:tr>
      <w:tr>
        <w:trPr/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2.2.1.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Привлечение новых поставщиков для оказания социальных услуг, о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казание консультационной, информационной, финансовой поддержки (в рамках предоставления субсидий (грантов) субъектам малого и среднего предпринимательства на финансовое обеспечение затрат при создании собственного бизнеса)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57" w:right="-5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Стимулирование создания негосударственного сектора в сфере предоставления социальных услуг населению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Доля негосударственных  организаций, предоставляющих социальные услуги</w:t>
            </w:r>
          </w:p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от общего числа субъектов предпринимательской деятельности Вилючинского городского округа, процентов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31.12.2024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0,7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Увеличение количества </w:t>
            </w:r>
            <w:r>
              <w:rPr>
                <w:rFonts w:eastAsia="Calibri"/>
                <w:color w:val="000000"/>
                <w:sz w:val="20"/>
                <w:szCs w:val="20"/>
              </w:rPr>
              <w:t>негосударственных  организаций, предоставляющих социальные услуги на территории Вилючинского городского округа</w:t>
            </w:r>
          </w:p>
        </w:tc>
      </w:tr>
    </w:tbl>
    <w:p>
      <w:pPr>
        <w:pStyle w:val="Normal"/>
        <w:spacing w:lineRule="auto" w:line="276" w:before="0" w:after="200"/>
        <w:ind w:left="-709" w:right="-739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orient="landscape" w:w="16838" w:h="11906"/>
      <w:pgMar w:left="1134" w:right="1134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a190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a1901"/>
    <w:pPr>
      <w:keepNext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1a1901"/>
    <w:rPr>
      <w:rFonts w:ascii="Cambria" w:hAnsi="Cambria" w:eastAsia="Times New Roman" w:cs="Times New Roman"/>
      <w:b/>
      <w:bCs/>
      <w:kern w:val="2"/>
      <w:sz w:val="32"/>
      <w:szCs w:val="32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semiHidden/>
    <w:qFormat/>
    <w:rsid w:val="001a1901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4d70fa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e75166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18b2"/>
    <w:rPr>
      <w:color w:themeColor="followedHyperlink" w:val="8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link w:val="2"/>
    <w:semiHidden/>
    <w:qFormat/>
    <w:rsid w:val="001a1901"/>
    <w:pPr>
      <w:ind w:firstLine="540"/>
      <w:jc w:val="both"/>
    </w:pPr>
    <w:rPr>
      <w:sz w:val="28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4d70fa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70fa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ingosim.kamgov.ru/perecen-municipalnogo-imusestva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Application>LibreOffice/7.6.7.2$Linux_X86_64 LibreOffice_project/60$Build-2</Application>
  <AppVersion>15.0000</AppVersion>
  <Pages>5</Pages>
  <Words>994</Words>
  <Characters>8098</Characters>
  <CharactersWithSpaces>8938</CharactersWithSpaces>
  <Paragraphs>157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2021-01-31T23:52:00Z</dcterms:created>
  <dc:creator>Татьяна А. Ларина</dc:creator>
  <dc:description/>
  <dc:language>ru-RU</dc:language>
  <cp:lastModifiedBy/>
  <cp:lastPrinted>2022-01-25T22:33:00Z</cp:lastPrinted>
  <dcterms:modified xsi:type="dcterms:W3CDTF">2025-03-12T14:53:12Z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