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empora LGC Uni" w:hAnsi="Tempora LGC Uni"/>
        </w:rPr>
      </w:pPr>
      <w:r>
        <w:rPr>
          <w:rFonts w:cs="Times New Roman" w:ascii="Tempora LGC Uni" w:hAnsi="Tempora LGC Uni"/>
          <w:b/>
          <w:sz w:val="28"/>
          <w:szCs w:val="28"/>
        </w:rPr>
        <w:t>Конкурс № 8 (строка схемы № 69)</w:t>
      </w:r>
    </w:p>
    <w:p>
      <w:pPr>
        <w:pStyle w:val="NoSpacing"/>
        <w:rPr>
          <w:rFonts w:ascii="Tempora LGC Uni" w:hAnsi="Tempora LGC Uni" w:cs="Times New Roman"/>
          <w:b/>
          <w:sz w:val="28"/>
          <w:szCs w:val="28"/>
        </w:rPr>
      </w:pPr>
      <w:r>
        <w:rPr>
          <w:rFonts w:cs="Times New Roman" w:ascii="Tempora LGC Uni" w:hAnsi="Tempora LGC Uni"/>
          <w:b/>
          <w:sz w:val="28"/>
          <w:szCs w:val="28"/>
        </w:rPr>
      </w:r>
    </w:p>
    <w:p>
      <w:pPr>
        <w:pStyle w:val="NoSpacing"/>
        <w:jc w:val="center"/>
        <w:rPr>
          <w:rFonts w:ascii="Tempora LGC Uni" w:hAnsi="Tempora LGC Uni"/>
        </w:rPr>
      </w:pPr>
      <w:r>
        <w:rPr>
          <w:rFonts w:cs="Times New Roman" w:ascii="Tempora LGC Uni" w:hAnsi="Tempora LGC Uni"/>
          <w:b/>
          <w:sz w:val="28"/>
          <w:szCs w:val="28"/>
        </w:rPr>
        <w:t>ИЗВЕЩЕНИЕ № 8</w:t>
      </w:r>
    </w:p>
    <w:p>
      <w:pPr>
        <w:pStyle w:val="NoSpacing"/>
        <w:jc w:val="center"/>
        <w:rPr>
          <w:rFonts w:ascii="Tempora LGC Uni" w:hAnsi="Tempora LGC Uni"/>
        </w:rPr>
      </w:pPr>
      <w:r>
        <w:rPr>
          <w:rFonts w:cs="Times New Roman" w:ascii="Tempora LGC Uni" w:hAnsi="Tempora LGC Uni"/>
          <w:b/>
          <w:sz w:val="28"/>
          <w:szCs w:val="28"/>
        </w:rPr>
        <w:t xml:space="preserve">О ПРОВЕДЕНИИ КОНКУРСА ПО ПРЕДОСТАВЛЕНИЮ ПРАВА РАЗМЕЩЕНИЯ НЕСТАЦИОНАРНЫХ ТОРГОВЫХ ОБЪЕКТОВ НА ТЕРРИТОРИИ ВИЛЮЧИНСКОГО ГОРОДСКОГО ОКРУГА </w:t>
      </w:r>
    </w:p>
    <w:p>
      <w:pPr>
        <w:pStyle w:val="NoSpacing"/>
        <w:jc w:val="center"/>
        <w:rPr>
          <w:rFonts w:ascii="Tempora LGC Uni" w:hAnsi="Tempora LGC Uni" w:cs="Times New Roman"/>
          <w:b/>
          <w:sz w:val="28"/>
          <w:szCs w:val="28"/>
        </w:rPr>
      </w:pPr>
      <w:r>
        <w:rPr>
          <w:rFonts w:cs="Times New Roman" w:ascii="Tempora LGC Uni" w:hAnsi="Tempora LGC Uni"/>
          <w:b/>
          <w:sz w:val="28"/>
          <w:szCs w:val="28"/>
        </w:rPr>
      </w:r>
    </w:p>
    <w:p>
      <w:pPr>
        <w:pStyle w:val="NoSpacing"/>
        <w:numPr>
          <w:ilvl w:val="0"/>
          <w:numId w:val="2"/>
        </w:numPr>
        <w:ind w:firstLine="709" w:left="0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Отдел по работе с предпринимателями, инвестиционной политики управления экономического развития и поддержки предпринимательства администрации Вилючинского городского округа (далее – отдел), согласно постановлению администрации Вилючинского городского округа от 03.06.2020 № 441 (с изменениями и дополнениями), определен организатором конкурса по предоставлению права размещения нестационарных торговых объектов на территории Вилючинского городского округа (далее – конкурс).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Место нахождения, почтовый адрес и телефон отдела: 684090, Камчатский край, г. Вилючинск, ул. Победы, 1, каб. 11а, телефон:</w:t>
        <w:br/>
        <w:t>8 (41535) 3-44-37 (доб. 315, 316).</w:t>
      </w:r>
    </w:p>
    <w:p>
      <w:pPr>
        <w:pStyle w:val="NoSpacing"/>
        <w:numPr>
          <w:ilvl w:val="0"/>
          <w:numId w:val="2"/>
        </w:numPr>
        <w:ind w:firstLine="709" w:left="0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Предметом конкурса является право заключения договора на размещение нестационарного торгового объекта в соответствии со схемой размещения нестационарных торговых объектов на территории Вилючинского городского округа, утвержденной постановлением администрации Вилючинского городского округа от 15.03.2012 № 350 (строка схемы № 69).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Адресный ориентир размещения нестационарного торгового объекта: 684093, Камчатский край, г. Вилючинск, ж.р. Рыбачий,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смотровая площадка «7 ветров»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Вид нестационарного торгового объекта – общественное питание.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 xml:space="preserve">Специализация – предприятие быстрого обслуживания.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Максимально допустимая площадь нестационарного торгового объекта – 41,6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 xml:space="preserve"> кв.м.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 xml:space="preserve">Срок действия договора на размещение нестационарного торгового объекта – 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5 лет.</w:t>
      </w:r>
    </w:p>
    <w:p>
      <w:pPr>
        <w:pStyle w:val="NoSpacing"/>
        <w:numPr>
          <w:ilvl w:val="0"/>
          <w:numId w:val="2"/>
        </w:numPr>
        <w:ind w:firstLine="709" w:lef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Начальная цена права на заключение договора на размещение нестационарного торгового объекта равна размеру годовой платы по договору на размещение нестационарного торгового объекта, рассчитываемой в соответствии с Порядком определения платы по договору на размещение нестационарного торгового объекта на территории Вилючинского городского округа, утвержденным постановлением администрации Вилючинского городского округа от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1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1.07.2019 № 658 и составляет –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81 322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(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восемьдесят одна тысяча триста двадцать два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)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я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59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копеек. 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</w:t>
        <w:tab/>
        <w:t>Для участия в конкурсе заявитель представляет в отдел заявку по форме, утвержденной постановлением администрации Вилю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чинского городского округа от 03.06.2020 № 441 (Приложени</w:t>
      </w:r>
      <w:r>
        <w:rPr>
          <w:rFonts w:cs="Times New Roman" w:ascii="Tempora LGC Uni" w:hAnsi="Tempora LGC Uni"/>
          <w:sz w:val="28"/>
          <w:szCs w:val="28"/>
        </w:rPr>
        <w:t xml:space="preserve">е к настоящему извещению) </w:t>
      </w: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по адресу: 684090, Камчатский край, г. Вилючинск,</w:t>
        <w:br/>
        <w:t xml:space="preserve">ул. Победы, 1, каб. 11а. Время работы отдела: пн.-чт. с 09.00 до 18.00 </w:t>
        <w:br/>
        <w:t>обед с 13.00 до 14.0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 xml:space="preserve">0, пт. с 09.00 до 13.00. </w:t>
      </w:r>
    </w:p>
    <w:p>
      <w:pPr>
        <w:pStyle w:val="NoSpacing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 xml:space="preserve">Срок подачи заявок 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с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 xml:space="preserve"> 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24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.0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6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 xml:space="preserve">.2026 по 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23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.0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7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.2026.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В заявке должны быть указаны: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наименование (фирменное наименование), организационно-правовая форма, место нахождения заявителя – юридического лица или фамилия, имя, отчество, место жительства, данные документа, удостоверяющего личность, заявителя – индивидуального предпринимателя;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(самозанятый), номер контактного телефона;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конкурс, в котором заявитель намерен принять участие.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5. К заявке прилагаются следующие документы, составляющие ее неотъемлемую часть: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для юридических лиц — копия документа, подтверждающего факт внесения записи о юридическом лице в Единый государственный реестр юридических лиц;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для индивидуальных предпринимателей — копия свидетельства о государственной регистрации в качестве индивидуального предпринимателя;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3) для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(самозанятого) — справка о постановке на учет в качестве плательщика налога на профессиональный доход;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4) копия свидетельства о постановке юридического лица или индивидуального предпринимателя на учет в налоговом органе;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5) конкурсное предложение в запечатанном и неповрежденном конверте;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6) доверенность, выданная лицу, уполномоченному действовать от имени заявителя при участии в конкурсе, с указанием действий, на совершение которых оно уполномочено;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7) сведения (документы), подтверждающие соответствие заявителя требованиям, предъявляемым к участнику конкурса;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8) подписанная заявителем опись представляемых документов.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Заявка подается заявителем лично или его уполномоченным представителем, а также может направляться заказным письмом с уведомлением о вручении.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Заявитель не вправе подать более одной заявки на участие в конкурсе в отношении каждого предмета конкурса.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Документы, запрашиваемые отделом в порядке межведомственного информационного взаимодействия, которые заявитель вправе приложить к заявке по собственной инициативе: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</w:t>
        <w:tab/>
        <w:t xml:space="preserve"> копия документа, подтверждающего факт внесения записи о юридическом лице в Единый государственный реестр юридических лиц);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</w:t>
        <w:tab/>
        <w:t>копия свидетельства о постановке юридического лица или индивидуального предпринимателя на учет в налоговом органе.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6. Требования к заявителю: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заявитель не находится в процессе ликвидации или реорганизации в форме выделения или разделения;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в отношении заявителя не возбуждено дело о банкротстве;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3) на имущество заявителя не наложен арест и (или) его экономическая деятельность не приостановлена.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7. Заявителю отказывается в приеме заявки в следующих случаях: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1) заявка подается до начала или по истечении срока приема заявок, указанного в извещении о проведении конкурса;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2) заявка подается лицом, не уполномоченным действовать от имени заявителя;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3) представлены не все документы, указанные в пункте 5 настоящего извещения;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4) представленные документы оформлены с нарушением требований, предусмотренных настоящим извещением;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5) конверт с конкурсным предложением не запечатан или существенно поврежден.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7. Отметка об отказе в приеме заявки с указанием даты, времени и причины отказа делается на описи представленных заявителем документов.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Непринятая заявка с приложенными к ней документами возвращается заявителю в день ее подачи вместе с описью документов, содержащей отметку о причине отказа, путем вручения их заявителю или его уполномоченному представителю под расписку либо путем отправления указанных документов заказным письмом с уведомлением о вручении.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8. Заявитель или его уполномоченный представитель вправе отозвать ранее поданную заявку с приложенными документами в любое время до дня окончания срока подачи (приема) заявок, указанного в извещении о проведении конкурса, путем направления организатору конкурса заявления об отзыве заявки (в свободной форме).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Отозвав свою заявку, заявитель вправе подать новую заявку с приложенными документами в срок, указанный в извещении о проведении конкурса.</w:t>
      </w:r>
    </w:p>
    <w:p>
      <w:pPr>
        <w:pStyle w:val="Normal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false"/>
          <w:bCs w:val="false"/>
          <w:sz w:val="28"/>
          <w:szCs w:val="28"/>
        </w:rPr>
        <w:t>9. Внесение изменений в заявку осуществляется путем отзыва ранее поданной заявки и направления новой заявки.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  <w:shd w:fill="auto" w:val="clear"/>
        </w:rPr>
      </w:pPr>
      <w:r>
        <w:rPr>
          <w:rFonts w:cs="Times New Roman" w:ascii="Tempora LGC Uni" w:hAnsi="Tempora LGC Uni"/>
          <w:sz w:val="28"/>
          <w:szCs w:val="28"/>
          <w:shd w:fill="auto" w:val="clear"/>
        </w:rPr>
        <w:t>10. С момента размещения извещения о проведении конкурса заявитель вправе направить в отдел в письменной форме запрос о разъяснении положений извещения о проведении конкурса. В течение трех рабочих дней со дня поступления указанного запроса, отдел обязан направить в письменной форме разъяснения положений извещения, в случае если указанный запрос поступил в отдел не позднее трех рабочих дней до дня окончания срока подачи заявок.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11. Отдел в течение 10 рабочих дней с даты окончания приема заявок осуществляет проверку представленных заявителями документов на предмет наличия в них недостоверных сведений. При этом отдел вправе потребовать разъяснения в отношении содержащихся в заявке сведений путем направления заявителю запроса по почте или вручения такого запроса лично. Разъяснения должны быть представлены в отдел в 3-дневный срок с даты получения запроса, но не позднее даты заседания комиссии по вопросу принятия решения о допуске заявителей к участию в конкурсе или об отказе в таком допуске.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По окончании проверки заявок отдел представляет в комиссию поступившие заявки, перечень поступивших заявок и сведения о результатах такой проверки.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12. На основании представленных отделом материалов в конкурсную комиссию, в течение 5 рабочих дней с даты их поступления, конкурсная комиссия рассматривает соответствие заявителей требованиям, предъявляемым к участнику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13. По результатам рассмотрения, представленных отделом  материалов и заявок конкурсная комиссия принимает решение о признании или непризнании заявителя участником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Конкурсная комиссия отказывает заявителю в признании его участником конкурса в случаях: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1) представленные документы не соответствуют требованиям законодательства Российской Федерации или содержат недостоверные (искаженные) сведения;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2) заявитель не соответствует требованиям, предъявляемым к участнику конкурса;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3) заявителем подано более одной заявки на участие в конкурсе в отношении каждого предмета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14. В случае если до начала проведения конкурса от заявителя будет получено надлежащим образом оформленное уведомление в письменной форме об отзыве заявки, комиссия исключает его из состава участников конкурса и уведомляет его об этом.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15. Решение конкурсной комиссии о допуске к участию в конкурсе или об отказе в таком допуске с указанием основания отказа оформляется протоколом об итогах рассмотрения заявок, в котором указываются: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1) все зарегистрированные заявки с указанием имен (наименований) заявителей;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2) все отозванные заявки;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3) имена (наименования) заявителей, признанных участниками конкурса;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4) имена (наименования) заявителей, которым было отказано в признании их участниками конкурса, с указанием основания такого отказа.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16. Заявитель приобретает статус участника конкурса с даты оформления конкурсной комиссией протокола об итогах рассмотрения заявок, содержащего сведения о признании этого заявителя участником конкурса.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17. Заявителям сообщается о результате рассмотрения их заявок путем вручения под расписку соответствующего сообщения в день подведения итогов рассмотрения заявок либо путем направления такого сообщения заказным письмом с уведомлением о вручении в срок не более 3 рабочих дней с даты оформления протокола об итогах рассмотрения заявок.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b w:val="false"/>
          <w:bCs w:val="false"/>
          <w:sz w:val="28"/>
          <w:szCs w:val="28"/>
        </w:rPr>
        <w:t>18. Вскрытие запечатанных конвертов с конкурсными предложениями участников конкурса и оглашение конкурсных предложений будет про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 xml:space="preserve">водиться публично на открытом заседании конкурсной комиссии 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03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.0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8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.2026 в 1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1</w:t>
      </w:r>
      <w:r>
        <w:rPr>
          <w:rFonts w:cs="Times New Roman" w:ascii="Tempora LGC Uni" w:hAnsi="Tempora LGC Uni"/>
          <w:b w:val="false"/>
          <w:bCs w:val="false"/>
          <w:sz w:val="28"/>
          <w:szCs w:val="28"/>
          <w:shd w:fill="auto" w:val="clear"/>
        </w:rPr>
        <w:t>.00 по адресу: 684090, Камчатский край, г. Вилючинск,</w:t>
        <w:br/>
        <w:t>ул. Победы, 1, каб. 40.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Конкурсной комиссией ведется протокол вскрытия конвертов с заявками на участие в конкурсе, который подписывается всеми присутствующими членами комиссии.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Конкурсная комиссия имеет право осуществлять видео- и аудиозапись вскрытия конвертов с заявками на участие в конкурсе.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19. Для принятия окончательного решения конкурсная комиссия вправе запросить у участника конкурса любую информацию (копии документов), подтверждающую представленные участником сведения и/или поясняющую конкурсные предложения. Не допускается запрашивать сведения, которые могут повлечь изменение существа конкурсного предложения.</w:t>
      </w:r>
    </w:p>
    <w:p>
      <w:pPr>
        <w:pStyle w:val="NoSpacing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cs="Times New Roman" w:ascii="Tempora LGC Uni" w:hAnsi="Tempora LGC Uni"/>
          <w:sz w:val="28"/>
          <w:szCs w:val="28"/>
        </w:rPr>
        <w:t>20. Победителем конкурса признается заявитель, который предложил наибольшую цену за право размещения нестационарного торгового объекта на каждом отдельном месте размещения. В случае поступления предложений с одинаковой ценой, победителем считается заявление, которое поступило ранее других заявлений.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 xml:space="preserve">21. По результатам конкурса между победителем конкурса и отделом, после внесения победителем конкурса платы за право заключения договора на размещение нестационарного торгового объекта, заключается договор на размещение нестационарного торгового объекта. </w:t>
      </w:r>
      <w:r>
        <w:rPr>
          <w:rFonts w:cs="Times New Roman" w:ascii="Tempora LGC Uni" w:hAnsi="Tempora LGC Uni"/>
          <w:b/>
          <w:sz w:val="28"/>
          <w:szCs w:val="28"/>
        </w:rPr>
        <w:t>Плата за право заключения договора на размещение нестационарного торгового объекта вносится в бюджет Вилючинского городского округа в течение 5 рабочих дней со дня подведения итогов конкурса</w:t>
      </w:r>
      <w:r>
        <w:rPr>
          <w:rFonts w:cs="Times New Roman" w:ascii="Tempora LGC Uni" w:hAnsi="Tempora LGC Uni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 xml:space="preserve">22. Отдел в течение </w:t>
      </w:r>
      <w:r>
        <w:rPr>
          <w:rFonts w:cs="Times New Roman" w:ascii="Tempora LGC Uni" w:hAnsi="Tempora LGC Uni"/>
          <w:b/>
          <w:sz w:val="28"/>
          <w:szCs w:val="28"/>
        </w:rPr>
        <w:t>3 рабочих дней</w:t>
      </w:r>
      <w:r>
        <w:rPr>
          <w:rFonts w:cs="Times New Roman" w:ascii="Tempora LGC Uni" w:hAnsi="Tempora LGC Uni"/>
          <w:sz w:val="28"/>
          <w:szCs w:val="28"/>
        </w:rPr>
        <w:t xml:space="preserve"> со дня внесения победителем конкурса платы за право заключения договора на размещение нестационарного торгового объекта подготавливает проект договора на размещение нестационарного торгового объекта и направляет его победителю конкурса для подписания. Победитель конкурса в течение </w:t>
        <w:br/>
      </w:r>
      <w:r>
        <w:rPr>
          <w:rFonts w:cs="Times New Roman" w:ascii="Tempora LGC Uni" w:hAnsi="Tempora LGC Uni"/>
          <w:b/>
          <w:sz w:val="28"/>
          <w:szCs w:val="28"/>
        </w:rPr>
        <w:t>3 рабочих дней</w:t>
      </w:r>
      <w:r>
        <w:rPr>
          <w:rFonts w:cs="Times New Roman" w:ascii="Tempora LGC Uni" w:hAnsi="Tempora LGC Uni"/>
          <w:sz w:val="28"/>
          <w:szCs w:val="28"/>
        </w:rPr>
        <w:t xml:space="preserve"> со дня получения проекта договора подписывает договор и представляет его в отдел.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23. При невнесении платы за право заключения договора на размещение нестационарного торгового объекта в установленный срок, уклонении или отказе победителя конкурса от заключения договора на размещение нестационарного торгового объекта победитель конкурса утрачивает право на заключение указанного договора. Предложение о заключении договора на размещение нестационарного торгового объекта направляется отделом участнику конкурса, предложение которого о плате за право заключения указанного договора содержит лучшие условия, следующие после условий, предложенных победителем конкурса. В случае согласия данного участника заключить договор на размещение нестационарного торгового объекта указанный участник признается победителем конкурса.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В случае если участник конкурса не являющийся победителем, отказывается или уклоняется от заключения договора на размещение нестационарного торгового объекта, результаты конкурса аннулируются организатором конкурса.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24. При наличии одного претендента на право размещения нестационарных торговых объектов по заявленному месту размещения, в соответствии со схемой размещения нестационарных торговых объектов, конкурсная комиссия рассматривает единственную заявку на участие в конкурсе на предмет ее соответствия требованиям конкурсной документации, фиксирует в протоколе, принимает решение о возможности заключения договора на размещение нестационарного торгового объекта.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>25. Результаты конкурса оформляются протоколом, который размещается</w:t>
      </w:r>
      <w:r>
        <w:rPr>
          <w:rFonts w:cs="Times New Roman" w:ascii="Tempora LGC Uni" w:hAnsi="Tempora LGC Uni"/>
          <w:sz w:val="28"/>
          <w:szCs w:val="28"/>
          <w:shd w:fill="auto" w:val="clear"/>
        </w:rPr>
        <w:t xml:space="preserve"> на официальном сайте</w:t>
      </w:r>
      <w:r>
        <w:rPr>
          <w:rFonts w:cs="Times New Roman" w:ascii="Tempora LGC Uni" w:hAnsi="Tempora LGC Uni"/>
          <w:sz w:val="28"/>
          <w:szCs w:val="28"/>
        </w:rPr>
        <w:t xml:space="preserve"> органов местного самоуправления Вилючинского городского округа в информационно-телекоммуникационной сети «Интернет» в течение 2-х рабочих дней со дня подписания протокола и публикуется путем информационного сообщения об итогах проведении конкурса в «Вилючинской газете. Официальных известиях администрации Вилючинского городского округа ЗАТО г. Вилючинска Камчатского края».</w:t>
      </w:r>
    </w:p>
    <w:p>
      <w:pPr>
        <w:pStyle w:val="NoSpacing"/>
        <w:ind w:firstLine="709"/>
        <w:jc w:val="both"/>
        <w:rPr>
          <w:rFonts w:ascii="Tempora LGC Uni" w:hAnsi="Tempora LGC Uni"/>
        </w:rPr>
      </w:pPr>
      <w:r>
        <w:rPr>
          <w:rFonts w:cs="Times New Roman" w:ascii="Tempora LGC Uni" w:hAnsi="Tempora LGC Uni"/>
          <w:sz w:val="28"/>
          <w:szCs w:val="28"/>
        </w:rPr>
        <w:t xml:space="preserve">26. Реквизиты счета для перечисления платы о продаже права на заключение договора на размещение нестационарного торгового объекта, предложенной по результатам конкурса: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БИК 013002402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Счет банка 40102810945370000031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Банк получателя: ОКЦ № 4 ДГУ Банка России //УФК по Камчатскому краю,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Петропавловск-Камчатский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ИНН 4102011344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КПП 410201001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Счет получателя: 03100643000000013800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Получатель: УФК по Камчатскому краю (Отдел по управлению муниципальным имуществом администрации Вилючинского городского округа)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ЛИЦЕВОЙ СЧЕТ 04383201690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КБК получателя 938 1 11 09080 04 0000 120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ОКАТО 30735000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 К данному извещению прилагается проект договора на размещение нестационарного торгового объекта на территории Вилючинского городского округа (Приложение № 2), утвержденный постановлением администрации Вилючинского городского округа от 11.07.2019 № 658.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before="0" w:after="0"/>
        <w:ind w:left="5245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Приложение № 1</w:t>
      </w:r>
    </w:p>
    <w:p>
      <w:pPr>
        <w:pStyle w:val="Normal"/>
        <w:widowControl/>
        <w:ind w:left="5245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к извещению № 7 о проведении конкурса по предоставлению права размещения нестационарных торговых объектов на территории Вилючинского городского округа</w:t>
      </w:r>
    </w:p>
    <w:p>
      <w:pPr>
        <w:pStyle w:val="Normal"/>
        <w:widowControl/>
        <w:ind w:left="5245"/>
        <w:rPr>
          <w:rFonts w:eastAsia="Calibri"/>
          <w:b w:val="false"/>
          <w:bCs w:val="false"/>
          <w:sz w:val="28"/>
          <w:szCs w:val="28"/>
          <w:lang w:eastAsia="en-US"/>
        </w:rPr>
      </w:pPr>
      <w:r>
        <w:rPr>
          <w:rFonts w:eastAsia="Calibri"/>
          <w:b w:val="false"/>
          <w:bCs w:val="false"/>
          <w:sz w:val="28"/>
          <w:szCs w:val="28"/>
          <w:lang w:eastAsia="en-US"/>
        </w:rPr>
      </w:r>
    </w:p>
    <w:p>
      <w:pPr>
        <w:pStyle w:val="Normal"/>
        <w:jc w:val="center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Заявка на участие в конкурсе по предоставлению права размещения нестационарных торговых объектов на территории Вилючинского городского округа</w:t>
      </w:r>
    </w:p>
    <w:p>
      <w:pPr>
        <w:pStyle w:val="Normal"/>
        <w:jc w:val="center"/>
        <w:rPr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Претендент__________________________________________________________________________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(Ф.И.О. (последнее - при наличии) индивидуального предпринимателя или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(самозанятый), или наименование юридического лица)</w:t>
      </w:r>
    </w:p>
    <w:p>
      <w:pPr>
        <w:pStyle w:val="Normal"/>
        <w:shd w:val="clear" w:fill="FFFFFF"/>
        <w:jc w:val="both"/>
        <w:rPr>
          <w:rFonts w:ascii="Arial" w:hAnsi="Arial" w:cs="Arial"/>
          <w:b w:val="false"/>
          <w:bCs w:val="false"/>
          <w:color w:val="252525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252525"/>
          <w:sz w:val="22"/>
          <w:szCs w:val="22"/>
        </w:rPr>
        <w:t> </w:t>
      </w:r>
    </w:p>
    <w:p>
      <w:pPr>
        <w:pStyle w:val="Normal"/>
        <w:shd w:val="clear" w:fill="FFFFFF"/>
        <w:jc w:val="both"/>
        <w:rPr>
          <w:b/>
          <w:bCs/>
          <w:i/>
          <w:i/>
          <w:iCs/>
          <w:color w:val="252525"/>
          <w:sz w:val="22"/>
          <w:szCs w:val="22"/>
          <w:u w:val="single"/>
        </w:rPr>
      </w:pPr>
      <w:r>
        <w:rPr>
          <w:b/>
          <w:bCs/>
          <w:i/>
          <w:iCs/>
          <w:color w:val="252525"/>
          <w:sz w:val="22"/>
          <w:szCs w:val="22"/>
          <w:u w:val="single"/>
        </w:rPr>
        <w:t>для Претендентов – индивидуальных предпринимателей; физических лиц, не являющихся индивидуальными предпринимателями и применяющих специальный налоговый режим «Налог на профессиональный доход» (самозанятых):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документ, удостоверяющий личность: паспорт  ________ №__________, выдан «____»______________г. _______________________________________________________________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(наименование органа, выдавшего паспорт)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зарегистрирован по адресу: _____________________________________________________________________________________</w:t>
      </w:r>
    </w:p>
    <w:p>
      <w:pPr>
        <w:pStyle w:val="Normal"/>
        <w:shd w:val="clear" w:fill="FFFFFF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контактный телефон: _______________________________,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в лице представителя _____________________________________________________________________________________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(Ф.И.О. (последнее - при наличии) представителя)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паспорт _______№ ________ выдан «____»________________г. ____________________________________________________________________________________,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(наименование органа, выдавшего паспорт)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действующего на основании доверенности от «____»________________г.,  № __________________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 </w:t>
      </w:r>
    </w:p>
    <w:p>
      <w:pPr>
        <w:pStyle w:val="Normal"/>
        <w:shd w:val="clear" w:fill="FFFFFF"/>
        <w:jc w:val="both"/>
        <w:rPr>
          <w:b w:val="false"/>
          <w:bCs w:val="false"/>
          <w:i/>
          <w:i/>
          <w:iCs/>
          <w:color w:val="252525"/>
          <w:sz w:val="22"/>
          <w:szCs w:val="22"/>
          <w:u w:val="single"/>
        </w:rPr>
      </w:pPr>
      <w:r>
        <w:rPr>
          <w:b w:val="false"/>
          <w:bCs w:val="false"/>
          <w:i/>
          <w:iCs/>
          <w:color w:val="252525"/>
          <w:sz w:val="22"/>
          <w:szCs w:val="22"/>
          <w:u w:val="single"/>
        </w:rPr>
        <w:t>для Претендентов - юридических лиц: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>организационно-правовая форма</w:t>
      </w:r>
      <w:r>
        <w:rPr>
          <w:b w:val="false"/>
          <w:bCs w:val="false"/>
          <w:color w:val="252525"/>
          <w:sz w:val="22"/>
          <w:szCs w:val="22"/>
          <w:u w:val="single"/>
        </w:rPr>
        <w:t>                                                                       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 xml:space="preserve">свидетельство о государственной регистрации в качестве юридического лица </w:t>
        <w:br/>
        <w:t>от «_____» ___________г. №________ выдано _____________________________________________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 xml:space="preserve">                                                                                                </w:t>
      </w:r>
      <w:r>
        <w:rPr>
          <w:b w:val="false"/>
          <w:bCs w:val="false"/>
          <w:color w:val="252525"/>
          <w:sz w:val="16"/>
          <w:szCs w:val="16"/>
        </w:rPr>
        <w:t>(орган, осуществивший регистрацию)</w:t>
      </w:r>
    </w:p>
    <w:p>
      <w:pPr>
        <w:pStyle w:val="Normal"/>
        <w:shd w:val="clear" w:fill="FFFFFF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 xml:space="preserve">ОГРН_________________ ИНН _________________, </w:t>
        <w:br/>
        <w:t>юридический адрес: __________________________________________________________________,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контактный телефон: ___________________________,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в лице ______________________________________________________________________________,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  <w:t>(должность, Ф.И.О. (последнее - при наличии) уполномоченного лица)</w:t>
      </w:r>
    </w:p>
    <w:p>
      <w:pPr>
        <w:pStyle w:val="Normal"/>
        <w:shd w:val="clear" w:fill="FFFFFF"/>
        <w:jc w:val="center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</w:r>
    </w:p>
    <w:p>
      <w:pPr>
        <w:pStyle w:val="Normal"/>
        <w:shd w:val="clear" w:fill="FFFFFF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 xml:space="preserve">действующего(ей) на основании _____________________________________________________________________________________                                       </w:t>
      </w:r>
      <w:r>
        <w:rPr>
          <w:b w:val="false"/>
          <w:bCs w:val="false"/>
          <w:color w:val="252525"/>
          <w:sz w:val="16"/>
          <w:szCs w:val="16"/>
        </w:rPr>
        <w:t>(гражданских прав или документа, подтверждающего полномочия лица, подающего заявку)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 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/>
          <w:bCs/>
          <w:color w:val="252525"/>
          <w:sz w:val="22"/>
          <w:szCs w:val="22"/>
        </w:rPr>
        <w:t>Просит признать участником конкурса по предоставлению права на размещения нестационарных торговых объектов на территории Вилючинского городского округа:</w:t>
      </w:r>
      <w:r>
        <w:rPr>
          <w:b w:val="false"/>
          <w:bCs w:val="false"/>
          <w:color w:val="252525"/>
          <w:sz w:val="22"/>
          <w:szCs w:val="22"/>
        </w:rPr>
        <w:t> _____________________________________________________________________________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ind w:firstLine="709" w:right="0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Настоящей заявкой подтверждаю, что претендент не находится в процессе ликвидации или реорганизации в форме выделения или разделения; в отношении претендента не возбуждено дело о банкротстве, на имущество не наложен арест и (или) экономическая деятельность не приостановлена.</w:t>
      </w:r>
    </w:p>
    <w:p>
      <w:pPr>
        <w:pStyle w:val="Normal"/>
        <w:shd w:val="clear" w:fill="FFFFFF"/>
        <w:ind w:firstLine="709" w:right="0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К заявке прилагаю документы, составляющие ее неотъемлемую часть в соответствии с Положением о порядке размещения нестационарных торговых объектов на территории Вилючинского городского округа на _______ л. в 1 экз.</w:t>
      </w:r>
    </w:p>
    <w:p>
      <w:pPr>
        <w:pStyle w:val="Normal"/>
        <w:shd w:val="clear" w:fill="FFFFFF"/>
        <w:ind w:firstLine="709" w:right="0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Даю согласие на обработку предоставленных мною персональных данных.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Подпись Претендента (представителя) _________________ «___» _______________ 20__ г.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16"/>
          <w:szCs w:val="16"/>
        </w:rPr>
      </w:pPr>
      <w:r>
        <w:rPr>
          <w:b w:val="false"/>
          <w:bCs w:val="false"/>
          <w:color w:val="252525"/>
          <w:sz w:val="16"/>
          <w:szCs w:val="16"/>
        </w:rPr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  <w:t>Заявка № _____ принята в ______ час.  ______  мин.  «___» ________________ 20__ г.</w:t>
      </w:r>
    </w:p>
    <w:p>
      <w:pPr>
        <w:pStyle w:val="Normal"/>
        <w:shd w:val="clear" w:fill="FFFFFF"/>
        <w:jc w:val="both"/>
        <w:rPr>
          <w:b w:val="false"/>
          <w:bCs w:val="false"/>
          <w:color w:val="252525"/>
          <w:sz w:val="22"/>
          <w:szCs w:val="22"/>
        </w:rPr>
      </w:pPr>
      <w:r>
        <w:rPr>
          <w:b w:val="false"/>
          <w:bCs w:val="false"/>
          <w:color w:val="252525"/>
          <w:sz w:val="22"/>
          <w:szCs w:val="22"/>
        </w:rPr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22"/>
          <w:szCs w:val="22"/>
        </w:rPr>
        <w:t> </w:t>
      </w:r>
      <w:r>
        <w:rPr>
          <w:b w:val="false"/>
          <w:bCs w:val="false"/>
          <w:color w:val="252525"/>
          <w:sz w:val="22"/>
          <w:szCs w:val="22"/>
        </w:rPr>
        <w:t>________________________            /____________________________/</w:t>
      </w:r>
    </w:p>
    <w:p>
      <w:pPr>
        <w:pStyle w:val="Normal"/>
        <w:shd w:val="clear" w:fill="FFFFFF"/>
        <w:jc w:val="both"/>
        <w:rPr>
          <w:b w:val="false"/>
          <w:bCs w:val="false"/>
        </w:rPr>
      </w:pPr>
      <w:r>
        <w:rPr>
          <w:b w:val="false"/>
          <w:bCs w:val="false"/>
          <w:color w:val="252525"/>
          <w:sz w:val="16"/>
          <w:szCs w:val="16"/>
        </w:rPr>
        <w:t xml:space="preserve">        </w:t>
      </w:r>
      <w:r>
        <w:rPr>
          <w:b w:val="false"/>
          <w:bCs w:val="false"/>
          <w:color w:val="252525"/>
          <w:sz w:val="16"/>
          <w:szCs w:val="16"/>
        </w:rPr>
        <w:t>(подпись лица, принявшего заявку)                                   (расшифровка подписи)</w:t>
      </w:r>
      <w:r>
        <w:rPr>
          <w:b w:val="false"/>
          <w:bCs w:val="false"/>
          <w:color w:val="252525"/>
          <w:sz w:val="22"/>
          <w:szCs w:val="22"/>
        </w:rPr>
        <w:t> </w:t>
      </w:r>
    </w:p>
    <w:p>
      <w:pPr>
        <w:pStyle w:val="Style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/>
        <w:spacing w:lineRule="auto" w:line="240" w:before="0" w:after="200"/>
        <w:ind w:left="5670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Приложение № 2</w:t>
      </w:r>
    </w:p>
    <w:p>
      <w:pPr>
        <w:pStyle w:val="Normal"/>
        <w:widowControl/>
        <w:spacing w:lineRule="auto" w:line="240" w:before="0" w:after="200"/>
        <w:ind w:left="5670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к извещению № 7 о проведении конкурса по предоставлению права размещения нестационарных торговых объектов на территории Вилючинского городского округа</w:t>
      </w:r>
    </w:p>
    <w:p>
      <w:pPr>
        <w:pStyle w:val="Normal"/>
        <w:widowControl/>
        <w:spacing w:before="0" w:after="200"/>
        <w:jc w:val="right"/>
        <w:rPr>
          <w:rFonts w:eastAsia="Calibri"/>
          <w:b w:val="false"/>
          <w:bCs w:val="false"/>
          <w:sz w:val="28"/>
          <w:szCs w:val="28"/>
          <w:lang w:eastAsia="en-US"/>
        </w:rPr>
      </w:pPr>
      <w:r>
        <w:rPr>
          <w:rFonts w:eastAsia="Calibri"/>
          <w:b w:val="false"/>
          <w:bCs w:val="false"/>
          <w:sz w:val="28"/>
          <w:szCs w:val="28"/>
          <w:lang w:eastAsia="en-US"/>
        </w:rPr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Типовая форма договора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false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Вилючинского городского округа</w:t>
      </w:r>
    </w:p>
    <w:p>
      <w:pPr>
        <w:pStyle w:val="Normal"/>
        <w:widowControl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false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Вилючинского городского округа</w:t>
      </w:r>
    </w:p>
    <w:p>
      <w:pPr>
        <w:pStyle w:val="Normal"/>
        <w:widowControl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г. Вилючинск                                                                «____» ___________20__г.</w:t>
      </w:r>
    </w:p>
    <w:p>
      <w:pPr>
        <w:pStyle w:val="Normal"/>
        <w:widowControl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 по работе с предпринимателями, инвестиционной политики  управления экономического развития и поддержки предпринимательства администрации Вилючинского городского округа в лице ________________________, действующий на основании Положения об управлении, именуемый в дальнейшем «Отдел», с одной стороны, и __________________________________________________________________,</w:t>
      </w:r>
    </w:p>
    <w:p>
      <w:pPr>
        <w:pStyle w:val="Normal"/>
        <w:widowControl/>
        <w:jc w:val="center"/>
        <w:rPr>
          <w:b w:val="false"/>
          <w:sz w:val="24"/>
          <w:szCs w:val="24"/>
        </w:rPr>
      </w:pPr>
      <w:r>
        <w:rPr>
          <w:b w:val="false"/>
          <w:sz w:val="16"/>
          <w:szCs w:val="16"/>
        </w:rPr>
        <w:t xml:space="preserve"> </w:t>
      </w:r>
      <w:r>
        <w:rPr>
          <w:b w:val="false"/>
          <w:sz w:val="16"/>
          <w:szCs w:val="16"/>
        </w:rPr>
        <w:t>(полное наименование хозяйствующего субъекта)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действующего на основании ________________________________________,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именуемого в дальнейшем «хозяйствующий субъект», с другой стороны, а вместе именуемые «Стороны», на основании __________________________________________________________________</w:t>
      </w:r>
    </w:p>
    <w:p>
      <w:pPr>
        <w:pStyle w:val="Normal"/>
        <w:widowControl/>
        <w:jc w:val="center"/>
        <w:rPr>
          <w:sz w:val="16"/>
          <w:szCs w:val="16"/>
        </w:rPr>
      </w:pPr>
      <w:r>
        <w:rPr>
          <w:b w:val="false"/>
          <w:sz w:val="16"/>
          <w:szCs w:val="16"/>
        </w:rPr>
        <w:t>(указать основание заключения настоящего договора – протокол конкурса, заявление хозяйствующего субъекта)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заключили настоящий договор о нижеследующем: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>1. Предмет договора</w:t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ab/>
        <w:t>1.1 Отдел обязуется предоставить хозяйствующему субъекту, намеревающемуся осуществлять торговую деятельность, право разместить нестационарный торговый объект для осуществления розничной торговли в определенном настоящим договором на размещение месте (далее - право на размещение) на территории Вилючинского городского округа без предоставления земельного участка и установления сервитута, а хозяйствующий субъект обязуется своевременно вносить плату за размещение нестационарного торгового объекта и обеспечить использование нестационарного торгового объекта на</w:t>
      </w:r>
      <w:r>
        <w:rPr>
          <w:b w:val="false"/>
          <w:bCs w:val="false"/>
          <w:sz w:val="28"/>
          <w:szCs w:val="24"/>
        </w:rPr>
        <w:t xml:space="preserve"> условиях и в порядке, предусмотренных настоящим договором на размещение, с учетом законодательства Российской Федерации.</w:t>
      </w:r>
    </w:p>
    <w:p>
      <w:pPr>
        <w:pStyle w:val="Normal"/>
        <w:jc w:val="center"/>
        <w:rPr>
          <w:color w:val="26282F"/>
          <w:sz w:val="28"/>
          <w:szCs w:val="28"/>
        </w:rPr>
      </w:pPr>
      <w:r>
        <w:rPr>
          <w:color w:val="26282F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>2. Существенные условия договора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2.1 Место размещения </w:t>
      </w:r>
      <w:r>
        <w:rPr>
          <w:b w:val="false"/>
          <w:sz w:val="28"/>
          <w:szCs w:val="28"/>
        </w:rPr>
        <w:t>нестационарного торгового объекта __________________________________________________________________.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2.2 Площадь нестационарного торгового объекта __________________________________________________________________.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sz w:val="28"/>
          <w:szCs w:val="28"/>
        </w:rPr>
        <w:tab/>
        <w:t xml:space="preserve">2.3 </w:t>
      </w:r>
      <w:r>
        <w:rPr>
          <w:b w:val="false"/>
          <w:bCs w:val="false"/>
          <w:sz w:val="28"/>
          <w:szCs w:val="24"/>
        </w:rPr>
        <w:t>Требования к внешнему виду нестационарного торгового объекта __________________________________________________________________.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1" w:name="sub_102033"/>
      <w:bookmarkEnd w:id="1"/>
      <w:r>
        <w:rPr>
          <w:b w:val="false"/>
          <w:bCs w:val="false"/>
          <w:sz w:val="28"/>
          <w:szCs w:val="24"/>
        </w:rPr>
        <w:t>2.4 Специализация, вид и (или) тип нестационарного торгового объекта___________________________________________________________.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2" w:name="sub_102033_Копия_1"/>
      <w:bookmarkStart w:id="3" w:name="sub_102034"/>
      <w:bookmarkEnd w:id="2"/>
      <w:bookmarkEnd w:id="3"/>
      <w:r>
        <w:rPr>
          <w:b w:val="false"/>
          <w:bCs w:val="false"/>
          <w:sz w:val="28"/>
          <w:szCs w:val="24"/>
        </w:rPr>
        <w:t>2.5 Размер платы за размещение нестационарного торгового объекта___________________________________________________________.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2.6 Порядок, условия и сроки внесения платы: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 xml:space="preserve">2.6.1 </w:t>
      </w:r>
      <w:bookmarkStart w:id="4" w:name="sub_3032"/>
      <w:bookmarkStart w:id="5" w:name="sub_3033"/>
      <w:r>
        <w:rPr>
          <w:b w:val="false"/>
          <w:bCs w:val="false"/>
          <w:sz w:val="28"/>
          <w:szCs w:val="24"/>
        </w:rPr>
        <w:t>Плата за размещение нестационарного торгового объекта вносится хозяйствующим субъектом равными частями от суммы, указанной в пункте 2.5 с учетом пункта 2.6.2 настоящего договора, один раз в три месяца до десятого дня, следующего после истечения очередного трехмесячного срока, а за последние три месяца действия настоящего договора не позднее, чем за пять дней до истечения срока действия настоящего договора.</w:t>
      </w:r>
      <w:bookmarkEnd w:id="5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 xml:space="preserve">2.6.2 Внесенная хозяйствующим субъектом начальная цена права на заключение договора в размере ______________________________________    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8"/>
          <w:szCs w:val="24"/>
        </w:rPr>
        <w:t xml:space="preserve">                                                  </w:t>
      </w:r>
      <w:r>
        <w:rPr>
          <w:b w:val="false"/>
          <w:bCs w:val="false"/>
          <w:sz w:val="24"/>
          <w:szCs w:val="24"/>
        </w:rPr>
        <w:t xml:space="preserve">(сумма указывается цифрами и прописью) 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рублей ________ копеек засчитывается в счет платы по настоящему договору.</w:t>
      </w:r>
      <w:bookmarkEnd w:id="4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2.6.3 Днем внесения платы является день ее поступления на счет.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6" w:name="sub_102034_Копия_1"/>
      <w:bookmarkStart w:id="7" w:name="sub_102035"/>
      <w:bookmarkEnd w:id="6"/>
      <w:bookmarkEnd w:id="7"/>
      <w:r>
        <w:rPr>
          <w:b w:val="false"/>
          <w:bCs w:val="false"/>
          <w:sz w:val="28"/>
          <w:szCs w:val="24"/>
        </w:rPr>
        <w:t>2.7 Хозяйствующий субъект обязуется соблюдать установленные в соответствии с законодательством Российской Федерации, иными нормативными правовыми актами Российской Федерации, нормативными правовыми актами Камчатского края, муниципальными правовыми актами Вилючинского городского округа требования к осуществлению торговой деятельности в нестационарном торговом объекте.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bookmarkStart w:id="8" w:name="sub_102036"/>
      <w:bookmarkStart w:id="9" w:name="sub_102035_Копия_1"/>
      <w:bookmarkEnd w:id="9"/>
      <w:r>
        <w:rPr>
          <w:b w:val="false"/>
          <w:bCs w:val="false"/>
          <w:sz w:val="28"/>
          <w:szCs w:val="24"/>
        </w:rPr>
        <w:t xml:space="preserve">2.8 </w:t>
      </w:r>
      <w:bookmarkStart w:id="10" w:name="sub_102037"/>
      <w:bookmarkEnd w:id="8"/>
      <w:r>
        <w:rPr>
          <w:b w:val="false"/>
          <w:bCs w:val="false"/>
          <w:sz w:val="28"/>
          <w:szCs w:val="24"/>
        </w:rPr>
        <w:t>Хозяйствующий субъект, осуществляющий торговую деятельность, не имеет права на передачу или уступку прав по настоящему договору на размещение третьим лицам и осуществление третьими лицами торговой и (или) иной деятельности с использованием нестационарного торгового объекта.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>2.9 Срок действия договора на размещение составляет_______________.</w:t>
      </w:r>
      <w:bookmarkEnd w:id="10"/>
    </w:p>
    <w:p>
      <w:pPr>
        <w:pStyle w:val="Normal"/>
        <w:jc w:val="center"/>
        <w:rPr>
          <w:color w:val="26282F"/>
          <w:sz w:val="28"/>
          <w:szCs w:val="28"/>
        </w:rPr>
      </w:pPr>
      <w:r>
        <w:rPr>
          <w:color w:val="26282F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>3. Изменения существенных условий договора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bookmarkStart w:id="11" w:name="sub_10205"/>
      <w:bookmarkEnd w:id="11"/>
      <w:r>
        <w:rPr>
          <w:b w:val="false"/>
          <w:bCs w:val="false"/>
          <w:sz w:val="28"/>
          <w:szCs w:val="28"/>
        </w:rPr>
        <w:t>3.1 Стороны уведомляют друг друга в письменной форме в течение 10 рабочих дней, обо всех нарушениях существенных условий договора на размещение.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bookmarkStart w:id="12" w:name="sub_1195"/>
      <w:r>
        <w:rPr>
          <w:color w:val="26282F"/>
          <w:sz w:val="28"/>
          <w:szCs w:val="28"/>
        </w:rPr>
        <w:t>4. Права и обязанности Сторон</w:t>
      </w:r>
      <w:bookmarkEnd w:id="12"/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3" w:name="sub_1179"/>
      <w:bookmarkEnd w:id="13"/>
      <w:r>
        <w:rPr>
          <w:b w:val="false"/>
          <w:bCs w:val="false"/>
          <w:sz w:val="28"/>
          <w:szCs w:val="28"/>
        </w:rPr>
        <w:t>4.1 Хозяйствующий субъект имеет право: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4" w:name="sub_1179_Копия_1"/>
      <w:bookmarkStart w:id="15" w:name="sub_1176"/>
      <w:bookmarkEnd w:id="14"/>
      <w:bookmarkEnd w:id="15"/>
      <w:r>
        <w:rPr>
          <w:b w:val="false"/>
          <w:bCs w:val="false"/>
          <w:sz w:val="28"/>
          <w:szCs w:val="28"/>
        </w:rPr>
        <w:t>4.1.1 Расторгнуть настоящий договор в порядке и случаях предусмотренных пунктами 6.2, 6.3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6" w:name="sub_1177"/>
      <w:bookmarkStart w:id="17" w:name="sub_1176_Копия_1"/>
      <w:bookmarkEnd w:id="17"/>
      <w:r>
        <w:rPr>
          <w:b w:val="false"/>
          <w:bCs w:val="false"/>
          <w:sz w:val="28"/>
          <w:szCs w:val="28"/>
        </w:rPr>
        <w:t>4.1.2 Не ранее 45 и не позднее 30 дней до окончания срока действия</w:t>
      </w:r>
      <w:bookmarkEnd w:id="16"/>
      <w:r>
        <w:rPr>
          <w:b w:val="false"/>
          <w:bCs w:val="false"/>
          <w:sz w:val="28"/>
          <w:szCs w:val="28"/>
        </w:rPr>
        <w:t xml:space="preserve"> настоящего договора обратиться в Отдел с письменным заявлением о заключении договора посредством реализации преимущественного права.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8" w:name="sub_1189"/>
      <w:bookmarkEnd w:id="18"/>
      <w:r>
        <w:rPr>
          <w:b w:val="false"/>
          <w:bCs w:val="false"/>
          <w:sz w:val="28"/>
          <w:szCs w:val="28"/>
        </w:rPr>
        <w:t>4.2 Хозяйствующий субъект обязан: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19" w:name="sub_1174"/>
      <w:bookmarkStart w:id="20" w:name="sub_1189_Копия_1"/>
      <w:bookmarkStart w:id="21" w:name="sub_1180"/>
      <w:bookmarkEnd w:id="20"/>
      <w:bookmarkEnd w:id="21"/>
      <w:r>
        <w:rPr>
          <w:b w:val="false"/>
          <w:bCs w:val="false"/>
          <w:sz w:val="28"/>
          <w:szCs w:val="28"/>
        </w:rPr>
        <w:t>4.2.1 Разместить нестационарный торговый объект в соответствии с пунктом 2 настоящего</w:t>
      </w:r>
      <w:bookmarkEnd w:id="19"/>
      <w:r>
        <w:rPr>
          <w:b w:val="false"/>
          <w:bCs w:val="false"/>
          <w:sz w:val="28"/>
          <w:szCs w:val="28"/>
        </w:rPr>
        <w:t xml:space="preserve"> договора в срок до _______________.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2" w:name="sub_1175"/>
      <w:r>
        <w:rPr>
          <w:b w:val="false"/>
          <w:bCs w:val="false"/>
          <w:sz w:val="28"/>
          <w:szCs w:val="28"/>
        </w:rPr>
        <w:t>4.2.2 Использовать нестационарный торговый объект для осуществления торговой деятельности</w:t>
      </w:r>
      <w:bookmarkEnd w:id="22"/>
      <w:r>
        <w:rPr>
          <w:b w:val="false"/>
          <w:bCs w:val="false"/>
          <w:sz w:val="28"/>
          <w:szCs w:val="28"/>
        </w:rPr>
        <w:t xml:space="preserve"> в соответствии с требованиями настоящего договора и действующего законодательства Российской Федерации, Камчатского края, муниципальными правовыми актами Вилючинского городского округа.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4.2.3 Своевременно вносить плату за размещение нестационарного торгового объекта.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3" w:name="sub_1181"/>
      <w:bookmarkStart w:id="24" w:name="sub_1180_Копия_1"/>
      <w:bookmarkEnd w:id="24"/>
      <w:r>
        <w:rPr>
          <w:b w:val="false"/>
          <w:bCs w:val="false"/>
          <w:sz w:val="28"/>
          <w:szCs w:val="28"/>
        </w:rPr>
        <w:t>4.2.4 Сохранять специализацию, вид и (или) тип нестационарного торгового объекта, место размещения,</w:t>
      </w:r>
      <w:bookmarkEnd w:id="23"/>
      <w:r>
        <w:rPr>
          <w:b w:val="false"/>
          <w:bCs w:val="false"/>
          <w:sz w:val="28"/>
          <w:szCs w:val="28"/>
        </w:rPr>
        <w:t xml:space="preserve"> группу товаров, размер, внешний вид нестационарного торгового объекта, в течение установленного  срока  его  размещения и соблюдать требования, установленные Положением о размещении  нестационарных  торговых объектов на территории Вилючинского городского округа, утвержденных решением Думы Вилючинского городского округа от 18.12.2017 № 186/61-6 «Об утверждении Положения о порядке размещения нестационарных торговых объектов на территории Вилючинского городского округа».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5" w:name="sub_1182"/>
      <w:r>
        <w:rPr>
          <w:b w:val="false"/>
          <w:bCs w:val="false"/>
          <w:sz w:val="28"/>
          <w:szCs w:val="28"/>
        </w:rPr>
        <w:t>4.2.</w:t>
      </w:r>
      <w:bookmarkEnd w:id="25"/>
      <w:r>
        <w:rPr>
          <w:b w:val="false"/>
          <w:bCs w:val="false"/>
          <w:sz w:val="28"/>
          <w:szCs w:val="28"/>
        </w:rPr>
        <w:t>5 Обеспечить содержание территории в соответствии с Правилами благоустройства территории Вилючинского городского округа, утвержденными решением Думы Вилючинского городского округа от 18.10.2017 № 173/58-6.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6" w:name="sub_1186"/>
      <w:bookmarkEnd w:id="26"/>
      <w:r>
        <w:rPr>
          <w:b w:val="false"/>
          <w:bCs w:val="false"/>
          <w:sz w:val="28"/>
          <w:szCs w:val="28"/>
        </w:rPr>
        <w:t>4.2.6 Не допускать складирования товара, упаковок, мусора на элементах благоустройства, крышах нестационарного торгового объекта и прилегающей территории.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7" w:name="sub_1187"/>
      <w:bookmarkStart w:id="28" w:name="sub_1186_Копия_1"/>
      <w:bookmarkEnd w:id="28"/>
      <w:r>
        <w:rPr>
          <w:b w:val="false"/>
          <w:bCs w:val="false"/>
          <w:sz w:val="28"/>
          <w:szCs w:val="28"/>
        </w:rPr>
        <w:t xml:space="preserve">4.2.7 </w:t>
      </w:r>
      <w:bookmarkEnd w:id="27"/>
      <w:r>
        <w:rPr>
          <w:b w:val="false"/>
          <w:bCs w:val="false"/>
          <w:sz w:val="28"/>
          <w:szCs w:val="28"/>
        </w:rPr>
        <w:t xml:space="preserve">После окончания действия договора либо при досрочном его расторжении хозяйствующий субъект в течение 10 календарных дней с момента прекращения действия настоящего договора обязан демонтировать (переместить) </w:t>
      </w:r>
      <w:r>
        <w:rPr>
          <w:b w:val="false"/>
          <w:bCs w:val="false"/>
          <w:sz w:val="28"/>
          <w:szCs w:val="24"/>
        </w:rPr>
        <w:t>нестационарный торговый объект и восстановить благоустройство места его размещения</w:t>
      </w:r>
      <w:r>
        <w:rPr>
          <w:b w:val="false"/>
          <w:bCs w:val="false"/>
          <w:sz w:val="28"/>
          <w:szCs w:val="28"/>
        </w:rPr>
        <w:t xml:space="preserve"> и прилегающей территории.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 xml:space="preserve">4.2.8 Не допускать конструктивное объединение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с другими нестационарными торговыми и прочими объектами, перемещение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в иное место, изменение внешнего вида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и (или) совершение иных действий, влекущих несоответствие </w:t>
      </w:r>
      <w:r>
        <w:rPr>
          <w:b w:val="false"/>
          <w:bCs w:val="false"/>
          <w:sz w:val="28"/>
          <w:szCs w:val="28"/>
        </w:rPr>
        <w:t>нестационарного торгового объекта</w:t>
      </w:r>
      <w:r>
        <w:rPr>
          <w:b w:val="false"/>
          <w:bCs w:val="false"/>
          <w:sz w:val="28"/>
          <w:szCs w:val="24"/>
        </w:rPr>
        <w:t xml:space="preserve"> существенным условиям настоящего договора, в том числе конкурсным условиям (в случае заключения настоящего договора по результатам конкурса).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>4.2.9 Заключить договор на вывоз твердых коммунальных отходов.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29" w:name="sub_1194"/>
      <w:bookmarkEnd w:id="29"/>
      <w:r>
        <w:rPr>
          <w:b w:val="false"/>
          <w:bCs w:val="false"/>
          <w:sz w:val="28"/>
          <w:szCs w:val="28"/>
        </w:rPr>
        <w:t>4.3 Отдел имеет право: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0" w:name="sub_1190"/>
      <w:bookmarkStart w:id="31" w:name="sub_1194_Копия_1"/>
      <w:bookmarkEnd w:id="31"/>
      <w:r>
        <w:rPr>
          <w:b w:val="false"/>
          <w:bCs w:val="false"/>
          <w:sz w:val="28"/>
          <w:szCs w:val="28"/>
        </w:rPr>
        <w:t>4.3.1 Получать своевременно и в полном объеме плату за размещение</w:t>
      </w:r>
      <w:bookmarkEnd w:id="30"/>
      <w:r>
        <w:rPr>
          <w:b w:val="false"/>
          <w:bCs w:val="false"/>
          <w:sz w:val="28"/>
          <w:szCs w:val="28"/>
        </w:rPr>
        <w:t xml:space="preserve"> нестационарного торгового объекта.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2" w:name="sub_1191"/>
      <w:bookmarkEnd w:id="32"/>
      <w:r>
        <w:rPr>
          <w:b w:val="false"/>
          <w:bCs w:val="false"/>
          <w:sz w:val="28"/>
          <w:szCs w:val="28"/>
        </w:rPr>
        <w:t>4.3.2 Осуществлять контроль за исполнением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3" w:name="sub_1192"/>
      <w:bookmarkStart w:id="34" w:name="sub_1191_Копия_1"/>
      <w:bookmarkEnd w:id="34"/>
      <w:r>
        <w:rPr>
          <w:b w:val="false"/>
          <w:bCs w:val="false"/>
          <w:sz w:val="28"/>
          <w:szCs w:val="28"/>
        </w:rPr>
        <w:t xml:space="preserve">4.3.3 </w:t>
      </w:r>
      <w:bookmarkEnd w:id="33"/>
      <w:r>
        <w:rPr>
          <w:b w:val="false"/>
          <w:bCs w:val="false"/>
          <w:sz w:val="28"/>
          <w:szCs w:val="28"/>
        </w:rPr>
        <w:t>Расторгнуть настоящий договор в порядке и случаях установленных пунктами 6.2, 6.3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5" w:name="sub_1193"/>
      <w:r>
        <w:rPr>
          <w:b w:val="false"/>
          <w:bCs w:val="false"/>
          <w:sz w:val="28"/>
          <w:szCs w:val="28"/>
        </w:rPr>
        <w:t xml:space="preserve">4.3.4  </w:t>
      </w:r>
      <w:bookmarkEnd w:id="35"/>
      <w:r>
        <w:rPr>
          <w:b w:val="false"/>
          <w:bCs w:val="false"/>
          <w:sz w:val="28"/>
          <w:szCs w:val="28"/>
        </w:rPr>
        <w:t>Вносить изменения и дополнения в договор по соглашению Сторон при изменении действующего законодательства Российской Федерации, Камчатского края, муниципальных правовых актов Вилючинского городского округа, регулирующих правоотношения в сфере размещения нестационарных торговых объектов.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 Отдел обязан: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4.4.1 Предоставить хозяйствующему субъекту право на размещение Объекта в соответствии с условиями настоящего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4.4.2 Осуществлять контроль за размещением нестационарного торгового объекта на территории Вилючинского городского округа.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4.4.3 По окончании срока, отведенного хозяйствующему субъекту на демонтаж нестационарного торгового объекта и восстановление нарушенного благоустройства места его размещения и прилегающей территории, организовать и провести проверку исполнения хозяйствующим субъектом пункта 4.2.7 настоящего договора.</w:t>
      </w:r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bookmarkStart w:id="36" w:name="sub_1199"/>
      <w:r>
        <w:rPr>
          <w:color w:val="26282F"/>
          <w:sz w:val="28"/>
          <w:szCs w:val="28"/>
        </w:rPr>
        <w:t>5. Ответственность Сторон</w:t>
      </w:r>
      <w:bookmarkEnd w:id="36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7" w:name="sub_1196"/>
      <w:r>
        <w:rPr>
          <w:b w:val="false"/>
          <w:bCs w:val="false"/>
          <w:sz w:val="28"/>
          <w:szCs w:val="28"/>
        </w:rPr>
        <w:t xml:space="preserve">5.1 </w:t>
      </w:r>
      <w:bookmarkEnd w:id="37"/>
      <w:r>
        <w:rPr>
          <w:b w:val="false"/>
          <w:bCs w:val="false"/>
          <w:sz w:val="28"/>
          <w:szCs w:val="28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условиями настоящего договора, а в части, не предусмотренной настоящим договором, - в соответствии с действующим законодательством Российской Федерации.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8" w:name="sub_1197"/>
      <w:r>
        <w:rPr>
          <w:b w:val="false"/>
          <w:bCs w:val="false"/>
          <w:sz w:val="28"/>
          <w:szCs w:val="28"/>
        </w:rPr>
        <w:t>5.2 В случае просрочки уплаты платежей хозяйствующий субъект обязан</w:t>
      </w:r>
      <w:bookmarkEnd w:id="38"/>
      <w:r>
        <w:rPr>
          <w:b w:val="false"/>
          <w:bCs w:val="false"/>
          <w:sz w:val="28"/>
          <w:szCs w:val="28"/>
        </w:rPr>
        <w:t xml:space="preserve"> выплатить Отделу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 долга за каждый день просрочки.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5.3 При неисполнении хозяйствующим субъектом обязанности по своевременному демонтажу нестационарного торгового объекта, 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 Российской Федерации.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39" w:name="sub_1198"/>
      <w:r>
        <w:rPr>
          <w:b w:val="false"/>
          <w:bCs w:val="false"/>
          <w:sz w:val="28"/>
          <w:szCs w:val="28"/>
        </w:rPr>
        <w:t xml:space="preserve">5.4 В случае невыполнения обязанности по демонтажу (перемещению) </w:t>
      </w:r>
      <w:bookmarkEnd w:id="39"/>
      <w:r>
        <w:rPr>
          <w:b w:val="false"/>
          <w:bCs w:val="false"/>
          <w:sz w:val="28"/>
          <w:szCs w:val="28"/>
        </w:rPr>
        <w:t>нестационарного торгового объекта хозяйствующий субъект возмещает расходы, понесенные в результате демонтажа, в полном объеме.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ab/>
        <w:t xml:space="preserve">5.5 Взыскание пени не освобождает </w:t>
      </w:r>
      <w:r>
        <w:rPr>
          <w:b w:val="false"/>
          <w:bCs w:val="false"/>
          <w:sz w:val="28"/>
          <w:szCs w:val="28"/>
        </w:rPr>
        <w:t>хозяйствующий субъект</w:t>
      </w:r>
      <w:r>
        <w:rPr>
          <w:b w:val="false"/>
          <w:bCs w:val="false"/>
          <w:sz w:val="28"/>
          <w:szCs w:val="24"/>
        </w:rPr>
        <w:t xml:space="preserve"> от выполнения принятых на себя обязательств по настоящему договору и устранения выявленных нарушений.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</w:p>
    <w:p>
      <w:pPr>
        <w:pStyle w:val="Normal"/>
        <w:jc w:val="center"/>
        <w:rPr>
          <w:color w:val="26282F"/>
          <w:sz w:val="28"/>
          <w:szCs w:val="28"/>
        </w:rPr>
      </w:pPr>
      <w:bookmarkStart w:id="40" w:name="sub_1224"/>
      <w:r>
        <w:rPr>
          <w:color w:val="26282F"/>
          <w:sz w:val="28"/>
          <w:szCs w:val="28"/>
        </w:rPr>
        <w:t xml:space="preserve">6. </w:t>
      </w:r>
      <w:bookmarkEnd w:id="40"/>
      <w:r>
        <w:rPr>
          <w:color w:val="26282F"/>
          <w:sz w:val="28"/>
          <w:szCs w:val="28"/>
        </w:rPr>
        <w:t>Разрешение споров и расторжение договора</w:t>
      </w:r>
    </w:p>
    <w:p>
      <w:pPr>
        <w:pStyle w:val="Normal"/>
        <w:widowControl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</w:p>
    <w:p>
      <w:pPr>
        <w:pStyle w:val="Normal"/>
        <w:widowControl/>
        <w:tabs>
          <w:tab w:val="clear" w:pos="708"/>
          <w:tab w:val="left" w:pos="4820" w:leader="none"/>
          <w:tab w:val="left" w:pos="5103" w:leader="none"/>
          <w:tab w:val="left" w:pos="9638" w:leader="none"/>
        </w:tabs>
        <w:ind w:firstLine="709" w:right="-1"/>
        <w:jc w:val="both"/>
        <w:rPr>
          <w:b w:val="false"/>
          <w:bCs w:val="false"/>
          <w:sz w:val="28"/>
          <w:szCs w:val="28"/>
        </w:rPr>
      </w:pPr>
      <w:bookmarkStart w:id="41" w:name="sub_1221"/>
      <w:r>
        <w:rPr>
          <w:b w:val="false"/>
          <w:bCs w:val="false"/>
          <w:sz w:val="28"/>
          <w:szCs w:val="28"/>
        </w:rPr>
        <w:t>6.1 Любые споры, возникающие из настоящего договора или в связи с</w:t>
      </w:r>
      <w:bookmarkEnd w:id="41"/>
      <w:r>
        <w:rPr>
          <w:b w:val="false"/>
          <w:bCs w:val="false"/>
          <w:sz w:val="28"/>
          <w:szCs w:val="28"/>
        </w:rPr>
        <w:t xml:space="preserve"> ним, разрешаются Сторонами путем ведения переговоров, а в случае недостижения согласия передаются на рассмотрение в судебном порядке.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 Досрочное расторжение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6.2.1. Настоящий договор, может быть досрочно расторгнут в одностороннем порядке по требованию хозяйствующего субъекта в любое время, при условии уведомления хозяйствующим субъектом Отдела о своем намерении досрочно расторгнуть договор не менее чем за 1 (один) месяц до планируемой даты расторжения договора.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8"/>
        </w:rPr>
        <w:t>6.2.2. Договор, может быть досрочно расторгнут по требованию Отдела в случаях</w:t>
      </w:r>
      <w:r>
        <w:rPr>
          <w:b w:val="false"/>
          <w:bCs w:val="false"/>
          <w:sz w:val="28"/>
          <w:szCs w:val="24"/>
        </w:rPr>
        <w:t>: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1) использования нестационарного торгового объекта не по назначению (осуществление деятельности, не предусмотренной существенными условиями договора);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2) невнесение платы по договору более двух периодов оплаты;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3) систематического (два и более раза) нарушения требований к размещению нестационарного торгового объекта, установленных главой 6 Положения о размещении нестационарных торговых объектов на территории Вилючинского городского округа;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4) размещение нестационарного торгового объекта с нарушением требований к данному объекту, заявленных в конкурсной документации (в случае заключения договора по результатам конкурса);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5) представления органов, осуществляющих функции по контролю и надзору, решению судебных органов;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6) отсутствие более 2 (двух) месяцев заключенного договора на вывоз твердых коммунальных отходов.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6.2.3. Договор, может быть расторгнут в одностороннем порядке на основании решения Отдела об одностороннем отказе от исполнения договора на размещение нестационарного торгового объекта в случаях: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1) установления факта ликвидации юридического лица, являющегося стороной договора в соответствии с гражданским законодательством Российской Федерации;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2) установления факта прекращения деятельности индивидуального предпринимателя, являющегося стороной договора;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  <w:t>3) при принятии органом местного самоуправления Вилючинского городского округа решения о необходимости реализации муниципальных программ и (или) приоритетных направлений деятельности Вилючинского городского округа в социально-экономической сфере; использовании территории, занимаемой нестационарным торговым объектом, для целей, связанных с развитием улично-дорожной сети, размещением объектов благоустройства, стоянок автотранспорта, опор уличного освещения и (или) прочих муниципальных объектов, в том числе остановок общественного транспорта, оборудованием бордюров, строительством проездов и (или) проездных путей, и для иных муниципальных целей, определенных в соответствии с документацией о планировке территорий; изъятии земельных участков для государственных или муниципальных нужд; принятии решений о развитии территории, изменении градостроительных регламентов в отношении территории, на которой находится нестационарный торговый объект.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6.2.4. Решение Отдела об одностороннем отказе от исполнения договора на размещение нестационарного торгового объекта в течение 3 (трех) рабочих дней со дня принятия такого решения, направляется в адрес хозяйствующего субъекта, являющегося стороной по договору по почте заказным письмом с уведомлением о вручении по адресу хозяйствующего субъекта, указанному в договоре.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6.2.5. После окончания действия договора либо при досрочном его расторжении владелец нестационарного торгового объекта в течение 10 календарных дней с момента прекращения действия договора обязан демонтировать (переместить) нестационарный торговый объект и восстановить благоустройство места его размещения и прилегающей территории.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6.2.6. При неисполнении владельцем нестационарного торгового объекта обязанности по своевременному демонтажу нестационарного торгового объекта, 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 Российской Федерации.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  <w:bookmarkStart w:id="42" w:name="sub_102039"/>
      <w:bookmarkStart w:id="43" w:name="sub_102039"/>
      <w:bookmarkEnd w:id="43"/>
    </w:p>
    <w:p>
      <w:pPr>
        <w:pStyle w:val="Normal"/>
        <w:widowControl/>
        <w:ind w:firstLine="709"/>
        <w:jc w:val="center"/>
        <w:rPr>
          <w:bCs w:val="false"/>
          <w:sz w:val="28"/>
          <w:szCs w:val="24"/>
        </w:rPr>
      </w:pPr>
      <w:r>
        <w:rPr>
          <w:bCs w:val="false"/>
          <w:sz w:val="28"/>
          <w:szCs w:val="24"/>
        </w:rPr>
        <w:t>7. Заключительные положения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4"/>
        </w:rPr>
      </w:pPr>
      <w:r>
        <w:rPr>
          <w:b w:val="false"/>
          <w:bCs w:val="false"/>
          <w:sz w:val="28"/>
          <w:szCs w:val="24"/>
        </w:rPr>
      </w:r>
      <w:bookmarkStart w:id="44" w:name="sub_102039_Копия_1"/>
      <w:bookmarkStart w:id="45" w:name="sub_102039_Копия_1"/>
      <w:bookmarkEnd w:id="45"/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7.1 Любое уведомление, которое одна Сторона направляет другой Стороне, высылается в виде заказного письма с уведомлением. Все возможные претензии рассматриваются в течение десяти рабочих дней со дня получения их Сторонами.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bookmarkStart w:id="46" w:name="sub_1222"/>
      <w:r>
        <w:rPr>
          <w:b w:val="false"/>
          <w:bCs w:val="false"/>
          <w:sz w:val="28"/>
          <w:szCs w:val="28"/>
        </w:rPr>
        <w:t>7.2 Настоящий договор составлен в 2 экземплярах, имеющих</w:t>
      </w:r>
      <w:bookmarkEnd w:id="46"/>
      <w:r>
        <w:rPr>
          <w:b w:val="false"/>
          <w:bCs w:val="false"/>
          <w:sz w:val="28"/>
          <w:szCs w:val="28"/>
        </w:rPr>
        <w:t xml:space="preserve"> одинаковую юридическую силу, - по одному для каждой из Сторон, один из которых  хранится в Отделе.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7.3 Приложения к договору составляют его неотъемлемую часть.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4"/>
        </w:rPr>
      </w:pPr>
      <w:bookmarkStart w:id="47" w:name="sub_1223"/>
      <w:r>
        <w:rPr>
          <w:b w:val="false"/>
          <w:bCs w:val="false"/>
          <w:sz w:val="28"/>
          <w:szCs w:val="24"/>
        </w:rPr>
        <w:tab/>
        <w:t>7.4 К настоящему договору прилагаются конкурсные условия (в случае заключения настоящего договора по результатам конкурса).</w:t>
      </w:r>
      <w:bookmarkEnd w:id="47"/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color w:val="FF0000"/>
          <w:sz w:val="28"/>
          <w:szCs w:val="28"/>
        </w:rPr>
      </w:pPr>
      <w:r>
        <w:rPr>
          <w:b w:val="false"/>
          <w:bCs w:val="false"/>
          <w:color w:val="FF0000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bookmarkStart w:id="48" w:name="sub_1225"/>
      <w:r>
        <w:rPr>
          <w:color w:val="26282F"/>
          <w:sz w:val="28"/>
          <w:szCs w:val="28"/>
        </w:rPr>
        <w:t>8. Реквизиты и подписи Сторон</w:t>
      </w:r>
      <w:bookmarkEnd w:id="48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Реквизиты счета администратора доходов: 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 по управлению муниципальным имуществом администрации Вилючинского городского округа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МП                                          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Хозяйствующий субъект: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                </w:t>
      </w:r>
      <w:r>
        <w:rPr>
          <w:b w:val="false"/>
          <w:bCs w:val="false"/>
          <w:sz w:val="28"/>
          <w:szCs w:val="28"/>
        </w:rPr>
        <w:t>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  <w:bookmarkStart w:id="49" w:name="sub_1226"/>
      <w:bookmarkStart w:id="50" w:name="sub_1226"/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color w:val="26282F"/>
          <w:sz w:val="26"/>
          <w:szCs w:val="28"/>
        </w:rPr>
      </w:pPr>
      <w:r>
        <w:rPr>
          <w:b w:val="false"/>
          <w:color w:val="26282F"/>
          <w:sz w:val="26"/>
          <w:szCs w:val="28"/>
        </w:rPr>
      </w:r>
    </w:p>
    <w:p>
      <w:pPr>
        <w:pStyle w:val="Normal"/>
        <w:widowControl/>
        <w:ind w:firstLine="709"/>
        <w:jc w:val="right"/>
        <w:rPr>
          <w:b w:val="false"/>
          <w:bCs w:val="false"/>
          <w:sz w:val="28"/>
          <w:szCs w:val="28"/>
        </w:rPr>
      </w:pPr>
      <w:r>
        <w:rPr>
          <w:b w:val="false"/>
          <w:color w:val="26282F"/>
          <w:sz w:val="26"/>
          <w:szCs w:val="28"/>
        </w:rPr>
        <w:t>Приложение</w:t>
        <w:br/>
        <w:t xml:space="preserve">к Договору №________ </w:t>
      </w:r>
      <w:r>
        <w:rPr>
          <w:b w:val="false"/>
          <w:sz w:val="28"/>
          <w:szCs w:val="28"/>
        </w:rPr>
        <w:t xml:space="preserve">на </w:t>
      </w:r>
      <w:r>
        <w:rPr>
          <w:b w:val="false"/>
          <w:bCs w:val="false"/>
          <w:sz w:val="28"/>
          <w:szCs w:val="28"/>
        </w:rPr>
        <w:t xml:space="preserve">размещение </w:t>
      </w:r>
    </w:p>
    <w:p>
      <w:pPr>
        <w:pStyle w:val="Normal"/>
        <w:widowControl/>
        <w:ind w:firstLine="709"/>
        <w:jc w:val="righ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нестационарного торгового объекта на </w:t>
      </w:r>
    </w:p>
    <w:p>
      <w:pPr>
        <w:pStyle w:val="Normal"/>
        <w:widowControl/>
        <w:ind w:firstLine="709"/>
        <w:jc w:val="right"/>
        <w:rPr>
          <w:b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территории</w:t>
      </w:r>
      <w:r>
        <w:rPr>
          <w:b w:val="false"/>
          <w:sz w:val="28"/>
          <w:szCs w:val="28"/>
        </w:rPr>
        <w:t xml:space="preserve"> Вилючинского городского </w:t>
      </w:r>
    </w:p>
    <w:p>
      <w:pPr>
        <w:pStyle w:val="Normal"/>
        <w:widowControl/>
        <w:ind w:firstLine="709"/>
        <w:jc w:val="right"/>
        <w:rPr>
          <w:b w:val="false"/>
          <w:bCs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округа </w:t>
      </w:r>
      <w:r>
        <w:rPr>
          <w:b w:val="false"/>
          <w:color w:val="26282F"/>
          <w:sz w:val="26"/>
          <w:szCs w:val="28"/>
        </w:rPr>
        <w:t>от «___» __________ 20__ года</w:t>
      </w:r>
      <w:bookmarkEnd w:id="50"/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color w:val="26282F"/>
          <w:sz w:val="28"/>
          <w:szCs w:val="28"/>
        </w:rPr>
        <w:t xml:space="preserve">                   </w:t>
      </w:r>
      <w:r>
        <w:rPr>
          <w:color w:val="26282F"/>
          <w:sz w:val="28"/>
          <w:szCs w:val="28"/>
        </w:rPr>
        <w:t xml:space="preserve">СУММЫ ПЛАТЕЖЕЙ И СРОКИ ИХ ВНЕСЕНИЯ                    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Плата по договору за период с __________ до __________ составляет: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____________________________________________________________________,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(сумма прописью)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 том числе по периодам: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W w:w="9639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2551"/>
        <w:gridCol w:w="4739"/>
      </w:tblGrid>
      <w:tr>
        <w:trPr/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Период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Сумма (руб.)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Сроки внесения платы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Дата внесения: сумма (руб.)</w:t>
            </w:r>
          </w:p>
        </w:tc>
      </w:tr>
      <w:tr>
        <w:trPr/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709"/>
              <w:jc w:val="both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</w:tr>
    </w:tbl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Отдел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МП                                          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Хозяйствующий субъект: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                </w:t>
      </w:r>
      <w:r>
        <w:rPr>
          <w:b w:val="false"/>
          <w:bCs w:val="false"/>
          <w:sz w:val="28"/>
          <w:szCs w:val="28"/>
        </w:rPr>
        <w:t>______________________(___________________)</w:t>
      </w:r>
    </w:p>
    <w:p>
      <w:pPr>
        <w:pStyle w:val="Normal"/>
        <w:widowControl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</w:t>
      </w:r>
      <w:r>
        <w:rPr>
          <w:b w:val="false"/>
          <w:bCs w:val="false"/>
          <w:sz w:val="24"/>
          <w:szCs w:val="24"/>
        </w:rPr>
        <w:t>(подпись)                                  (ФИО)</w:t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empora LGC Uni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b w:val="false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qFormat/>
    <w:pPr>
      <w:keepNext w:val="true"/>
      <w:keepLines/>
      <w:widowControl/>
      <w:numPr>
        <w:ilvl w:val="0"/>
        <w:numId w:val="0"/>
      </w:numPr>
      <w:spacing w:lineRule="auto" w:line="276" w:before="200" w:after="0"/>
      <w:outlineLvl w:val="1"/>
    </w:pPr>
    <w:rPr>
      <w:rFonts w:ascii="Cambria" w:hAnsi="Cambria" w:eastAsia="Calibri" w:cs="Tahoma"/>
      <w:color w:themeColor="accent1"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widowControl/>
      <w:numPr>
        <w:ilvl w:val="0"/>
        <w:numId w:val="0"/>
      </w:numPr>
      <w:spacing w:lineRule="auto" w:line="276" w:before="200" w:after="0"/>
      <w:outlineLvl w:val="2"/>
    </w:pPr>
    <w:rPr>
      <w:rFonts w:ascii="Cambria" w:hAnsi="Cambria" w:eastAsia="Calibri" w:cs="Tahoma"/>
      <w:color w:themeColor="accent1" w:val="4F81BD"/>
      <w:sz w:val="22"/>
      <w:szCs w:val="22"/>
      <w:lang w:eastAsia="en-US"/>
    </w:rPr>
  </w:style>
  <w:style w:type="character" w:styleId="DefaultParagraphFont">
    <w:name w:val="Default Paragraph Font"/>
    <w:qFormat/>
    <w:rPr/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b/>
      <w:bCs/>
      <w:color w:themeColor="accent1" w:val="4F81BD"/>
      <w:sz w:val="26"/>
      <w:szCs w:val="26"/>
    </w:rPr>
  </w:style>
  <w:style w:type="character" w:styleId="3">
    <w:name w:val="Заголовок 3 Знак"/>
    <w:basedOn w:val="DefaultParagraphFont"/>
    <w:qFormat/>
    <w:rPr>
      <w:rFonts w:ascii="Cambria" w:hAnsi="Cambria" w:eastAsia="Calibri" w:cs="Tahoma"/>
      <w:b/>
      <w:bCs/>
      <w:color w:themeColor="accent1" w:val="4F81BD"/>
    </w:rPr>
  </w:style>
  <w:style w:type="character" w:styleId="Style12">
    <w:name w:val="Текст выноски Знак"/>
    <w:basedOn w:val="DefaultParagraphFont"/>
    <w:link w:val="BalloonText"/>
    <w:qFormat/>
    <w:rPr>
      <w:rFonts w:ascii="Tahoma" w:hAnsi="Tahoma" w:eastAsia="Times New Roman" w:cs="Tahoma"/>
      <w:b/>
      <w:bCs/>
      <w:sz w:val="16"/>
      <w:szCs w:val="16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2"/>
    <w:qFormat/>
    <w:pPr/>
    <w:rPr>
      <w:rFonts w:ascii="Tahoma" w:hAnsi="Tahoma" w:cs="Tahoma"/>
      <w:sz w:val="16"/>
      <w:szCs w:val="16"/>
    </w:rPr>
  </w:style>
  <w:style w:type="paragraph" w:styleId="Style15">
    <w:name w:val="Без интервала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Application>LibreOffice/7.6.7.2$Linux_X86_64 LibreOffice_project/60$Build-2</Application>
  <AppVersion>15.0000</AppVersion>
  <Pages>17</Pages>
  <Words>3850</Words>
  <Characters>30108</Characters>
  <CharactersWithSpaces>34774</CharactersWithSpaces>
  <Paragraphs>239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2020-11-09T20:36:00Z</dcterms:created>
  <dc:creator>Татьяна А. Ларина</dc:creator>
  <dc:description/>
  <dc:language>ru-RU</dc:language>
  <cp:lastModifiedBy/>
  <cp:lastPrinted>2026-06-17T11:14:37Z</cp:lastPrinted>
  <dcterms:modified xsi:type="dcterms:W3CDTF">2026-06-17T11:14:21Z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