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Форма сводного отчета о результатах проведения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оценки регулирующего воздействия проекта нормативного правового акта</w:t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 средней степенью регулирующего воздействия</w:t>
      </w:r>
    </w:p>
    <w:tbl>
      <w:tblPr>
        <w:tblStyle w:val="a4"/>
        <w:tblW w:w="5000" w:type="pct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64"/>
        <w:gridCol w:w="1396"/>
        <w:gridCol w:w="4794"/>
      </w:tblGrid>
      <w:tr>
        <w:trPr>
          <w:trHeight w:val="158" w:hRule="atLeast"/>
        </w:trPr>
        <w:tc>
          <w:tcPr>
            <w:tcW w:w="3164" w:type="dxa"/>
            <w:vMerge w:val="restart"/>
            <w:tcBorders/>
          </w:tcPr>
          <w:tbl>
            <w:tblPr>
              <w:tblStyle w:val="a4"/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HBand="0" w:noVBand="1" w:firstColumn="1" w:lastRow="0" w:lastColumn="0" w:firstRow="1"/>
            </w:tblPr>
            <w:tblGrid>
              <w:gridCol w:w="277"/>
              <w:gridCol w:w="2670"/>
            </w:tblGrid>
            <w:tr>
              <w:trPr/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2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9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Сроки проведения публичного обсуждения проекта нормативного правового акта:</w:t>
            </w:r>
          </w:p>
        </w:tc>
      </w:tr>
      <w:tr>
        <w:trPr>
          <w:trHeight w:val="158" w:hRule="atLeast"/>
        </w:trPr>
        <w:tc>
          <w:tcPr>
            <w:tcW w:w="316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47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.07.2026</w:t>
            </w:r>
          </w:p>
        </w:tc>
      </w:tr>
      <w:tr>
        <w:trPr>
          <w:trHeight w:val="157" w:hRule="atLeast"/>
        </w:trPr>
        <w:tc>
          <w:tcPr>
            <w:tcW w:w="316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окончание:</w:t>
            </w:r>
          </w:p>
        </w:tc>
        <w:tc>
          <w:tcPr>
            <w:tcW w:w="47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.08.2026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Общая информация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2"/>
        <w:gridCol w:w="3171"/>
        <w:gridCol w:w="5431"/>
      </w:tblGrid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1.1.</w:t>
            </w:r>
          </w:p>
        </w:tc>
        <w:tc>
          <w:tcPr>
            <w:tcW w:w="860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структурного подразделения администрации Вилючинского городского округа являющегося разработчиком проекта нормативного правового акта (далее – разработчик проекта нормативного правового акта):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управление экономического развития и поддержки предпринимательства администрации Вилючинского городского округа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(указываются полное и краткое наименования)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1.2.</w:t>
            </w:r>
          </w:p>
        </w:tc>
        <w:tc>
          <w:tcPr>
            <w:tcW w:w="860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иных соисполнителях: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(указываются полное и краткое наименования)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1.3.</w:t>
            </w:r>
          </w:p>
        </w:tc>
        <w:tc>
          <w:tcPr>
            <w:tcW w:w="860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 и наименование проекта нормативного правового акта: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проект постановления администрации Вилючинского городского округа «Об утверждении Порядка возмещения затрат, предусмотренных частью 1 статьи 15 Федерального закона от 01.04.2020 № 69-ФЗ 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ru-RU" w:eastAsia="en-US" w:bidi="ar-SA"/>
              </w:rPr>
              <w:t>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1.4.</w:t>
            </w:r>
          </w:p>
        </w:tc>
        <w:tc>
          <w:tcPr>
            <w:tcW w:w="860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описание проблемы, на решение которой направлен предлагаемый способ регулирования:</w:t>
            </w:r>
          </w:p>
          <w:p>
            <w:pPr>
              <w:pStyle w:val="ListParagraph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предоставление субсидии на возмещение из бюджета Вилючинского городского округа округа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округа, в соответствии с бюджетным законодательством Российской Федерации.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1.5.</w:t>
            </w:r>
          </w:p>
        </w:tc>
        <w:tc>
          <w:tcPr>
            <w:tcW w:w="860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Основание для разработки проекта нормативного правового акта: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статья 52 Федерального закона от 20.03.2025 № 33-ФЗ «Об общих принципах организации местного самоуправления в единой системе публичной власти», часть 8 статьи 4 Федерального закона от 01.04.2020 № 69-ФЗ «О защите и поощрении капиталовложений в Российской Федерации», Устав Вилючинского городского округа закрытого административно-территориального образования города Вилючинска Камчатского края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1.6.</w:t>
            </w:r>
          </w:p>
        </w:tc>
        <w:tc>
          <w:tcPr>
            <w:tcW w:w="860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описание целей предлагаемого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предоставление субсидии на возмещение из бюджета Вилючинского городского округа округа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округа, в соответствии с бюджетным законодательством Российской Федерации.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1.7.</w:t>
            </w:r>
          </w:p>
        </w:tc>
        <w:tc>
          <w:tcPr>
            <w:tcW w:w="860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описание предлагаемого способа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Принятие нормативного правового акта определяет: порядок предоставления субсидий на возмещение из бюджета Вилючинского городского округа округа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округа, в соответствии с бюджетным законодательством Российской Федерации.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1.8.</w:t>
            </w:r>
          </w:p>
        </w:tc>
        <w:tc>
          <w:tcPr>
            <w:tcW w:w="860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Контактная информация исполнителя (разработчика проекта нормативного правового акта):</w:t>
            </w:r>
          </w:p>
        </w:tc>
      </w:tr>
      <w:tr>
        <w:trPr/>
        <w:tc>
          <w:tcPr>
            <w:tcW w:w="75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Ф.И.О.:</w:t>
            </w:r>
          </w:p>
        </w:tc>
        <w:tc>
          <w:tcPr>
            <w:tcW w:w="5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Загальская Дарья Витальевна</w:t>
            </w:r>
          </w:p>
        </w:tc>
      </w:tr>
      <w:tr>
        <w:trPr/>
        <w:tc>
          <w:tcPr>
            <w:tcW w:w="75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Должность:</w:t>
            </w:r>
          </w:p>
        </w:tc>
        <w:tc>
          <w:tcPr>
            <w:tcW w:w="5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начальник управления экономического развития и поддержки предпринимательства администрации Вилючинского городского округа</w:t>
            </w:r>
          </w:p>
        </w:tc>
      </w:tr>
      <w:tr>
        <w:trPr>
          <w:trHeight w:val="249" w:hRule="atLeast"/>
        </w:trPr>
        <w:tc>
          <w:tcPr>
            <w:tcW w:w="75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Тел:</w:t>
            </w:r>
          </w:p>
        </w:tc>
        <w:tc>
          <w:tcPr>
            <w:tcW w:w="5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8 (415-35) 3-44-37 доб. 315</w:t>
            </w:r>
          </w:p>
        </w:tc>
      </w:tr>
      <w:tr>
        <w:trPr>
          <w:trHeight w:val="249" w:hRule="atLeast"/>
        </w:trPr>
        <w:tc>
          <w:tcPr>
            <w:tcW w:w="75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Адрес электронной почты:</w:t>
            </w:r>
          </w:p>
        </w:tc>
        <w:tc>
          <w:tcPr>
            <w:tcW w:w="5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investvgo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viladm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ru</w:t>
            </w:r>
          </w:p>
        </w:tc>
      </w:tr>
    </w:tbl>
    <w:p>
      <w:pPr>
        <w:pStyle w:val="Normal"/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Степень регулирующего воздействия проекта нормативного правового акта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2"/>
        <w:gridCol w:w="4301"/>
        <w:gridCol w:w="4301"/>
      </w:tblGrid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2.1.</w:t>
            </w:r>
          </w:p>
        </w:tc>
        <w:tc>
          <w:tcPr>
            <w:tcW w:w="4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430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высокая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2.2.</w:t>
            </w:r>
          </w:p>
        </w:tc>
        <w:tc>
          <w:tcPr>
            <w:tcW w:w="8602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проект постановления администрации Вилючинского городского округа </w:t>
              <w:br/>
              <w:t>«Об утверждении Порядка возмещения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округа»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ru-RU" w:eastAsia="en-US" w:bidi="ar-SA"/>
              </w:rPr>
              <w:t xml:space="preserve"> содержит положения, устанавливающие новые ранее не предусмотренные нормативными правовыми актами Вилючинского городского округа обязанности для субъектов предпринимательской деятельности, а также ответственность за нарушение нормативных правовых актов Вилючинского городского округа, затрагивающих вопросы осуществления предпринимательской деятельности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(место для текстового описания)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2"/>
        <w:gridCol w:w="8601"/>
      </w:tblGrid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Отсутствие на территории Вилючинского городского округа нормативного правового акта регулирующего предоставление субсидий на возмещение из бюджета Вилючинского городского округа округа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3.2.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3.3.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3.4.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Проблема не может быть решена без вмешательства со стороны органов исполнительной власти муниципального образования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3.5.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3.6.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Иная информация о проблеме: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Анализ опыта иных муниципальных образований </w:t>
        <w:br/>
        <w:t>в соответствующих сферах деятельности: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2"/>
        <w:gridCol w:w="8601"/>
      </w:tblGrid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</w:tc>
        <w:tc>
          <w:tcPr>
            <w:tcW w:w="8601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Опыт муниципальных образований в соответствующих сферах деятельности: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textAlignment w:val="baseline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 xml:space="preserve">Постановление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 xml:space="preserve">дминистрации Чаплыгинского муниципального округа Липецкой области от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>6.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>05.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 xml:space="preserve">2026 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 xml:space="preserve"> 249 «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 xml:space="preserve">Об утверждении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>Порядк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 xml:space="preserve"> возмещения затрат, предусмотренных частью 1 статьи 15 Федерального закона от 01.04.2020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2"/>
                <w:szCs w:val="24"/>
                <w:lang w:val="ru-RU" w:eastAsia="ru-RU" w:bidi="ar-SA"/>
              </w:rPr>
              <w:t xml:space="preserve"> 69-ФЗ </w:t>
              <w:br/>
              <w:t>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в Чаплыгинском муниципальном округе»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Официальные сайты органов государственной власти и органов местного самоуправления в информационно-телекоммуникационной сети «Интернет»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Цели предлагаемого регулирования и их соответствие принципам </w:t>
      </w:r>
    </w:p>
    <w:p>
      <w:pPr>
        <w:pStyle w:val="ListParagraph"/>
        <w:spacing w:lineRule="auto" w:line="240" w:before="240" w:after="0"/>
        <w:ind w:left="1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правового регулирования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2"/>
        <w:gridCol w:w="3681"/>
        <w:gridCol w:w="762"/>
        <w:gridCol w:w="4158"/>
      </w:tblGrid>
      <w:tr>
        <w:trPr>
          <w:trHeight w:val="55" w:hRule="atLeast"/>
        </w:trPr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5.1.</w:t>
            </w:r>
          </w:p>
        </w:tc>
        <w:tc>
          <w:tcPr>
            <w:tcW w:w="3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Цели предлагаемого регулирования:</w:t>
            </w:r>
          </w:p>
        </w:tc>
        <w:tc>
          <w:tcPr>
            <w:tcW w:w="76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5.2.</w:t>
            </w:r>
          </w:p>
        </w:tc>
        <w:tc>
          <w:tcPr>
            <w:tcW w:w="415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Установленные сроки достижения целей предлагаемого регулирования:</w:t>
            </w:r>
          </w:p>
        </w:tc>
      </w:tr>
      <w:tr>
        <w:trPr>
          <w:trHeight w:val="2576" w:hRule="atLeast"/>
        </w:trPr>
        <w:tc>
          <w:tcPr>
            <w:tcW w:w="4433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Предоставление субсидий на возмещение из бюджета Вилючинского городского округа округа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</w:t>
            </w:r>
          </w:p>
        </w:tc>
        <w:tc>
          <w:tcPr>
            <w:tcW w:w="4920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С момента принятия нормативного правового акта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601" w:type="dxa"/>
            <w:gridSpan w:val="3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соответствия целей предлагаемого регулирования положениям послания Президента Российской Федерации Федеральному Собранию Российской Федерации, концепции долгосрочного социально-экономического развития Российской Федерации, программе социально-экономического развития Российской Федерации, стратегии социально-экономического развития Камчатского края, муниципальным нормативным правовым актам: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Проект постановления администрации Вилючинского городского округа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«Об утверждении Порядка предоставления субсидии на возмещение из бюджета Вилючинского городского округа округа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округа» разработан в соответствии со статьей 52 Федерального закона от 20.03.2025 № 33-ФЗ «Об общих принципах организации местного самоуправления в единой системе публичной власти», часть 8 статьи 4 Федерального закона от 01.04.2020 № 69-ФЗ «О защите и поощрении капиталовложений в Российской Федерации», Устав Вилючинского городского округа закрытого административно-территориального образования города Вилючинска Камчатского края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601" w:type="dxa"/>
            <w:gridSpan w:val="3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Иная информация о целях предлагаемого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2"/>
        <w:gridCol w:w="8601"/>
      </w:tblGrid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Принятие постановления администрации Вилючинского городского округа 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ru-RU" w:eastAsia="en-US" w:bidi="ar-SA"/>
              </w:rPr>
              <w:t>«Об утверждении Порядка предоставления субсидии на возмещение из бюджета Вилючинского городского округа округа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.3.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выбора предлагаемого способа решения проблемы: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Принятие постановления администрации Вилючинского городского округа 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ru-RU" w:eastAsia="en-US" w:bidi="ar-SA"/>
              </w:rPr>
              <w:t>«Об утверждении Порядка предоставления субсидии на возмещение из бюджета Вилючинского городского округа округа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.4.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Иная информация о предлагаемом способе решения проблемы: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7. Основные группы субъектов предпринимательской и инвестиционной деятельности, иные заинтересованные лица, включая исполнительные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2"/>
        <w:gridCol w:w="3681"/>
        <w:gridCol w:w="762"/>
        <w:gridCol w:w="4158"/>
      </w:tblGrid>
      <w:tr>
        <w:trPr>
          <w:trHeight w:val="55" w:hRule="atLeast"/>
        </w:trPr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</w:tc>
        <w:tc>
          <w:tcPr>
            <w:tcW w:w="368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Группа участников отношений:</w:t>
            </w:r>
          </w:p>
        </w:tc>
        <w:tc>
          <w:tcPr>
            <w:tcW w:w="76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.2.</w:t>
            </w:r>
          </w:p>
        </w:tc>
        <w:tc>
          <w:tcPr>
            <w:tcW w:w="415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Оценка количества участников отношений:</w:t>
            </w:r>
          </w:p>
        </w:tc>
      </w:tr>
      <w:tr>
        <w:trPr>
          <w:trHeight w:val="52" w:hRule="atLeast"/>
        </w:trPr>
        <w:tc>
          <w:tcPr>
            <w:tcW w:w="9353" w:type="dxa"/>
            <w:gridSpan w:val="4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(Описание группы субъектов предпринимательской и инвестиционной деятельности)</w:t>
            </w:r>
          </w:p>
        </w:tc>
      </w:tr>
      <w:tr>
        <w:trPr>
          <w:trHeight w:val="1288" w:hRule="atLeast"/>
        </w:trPr>
        <w:tc>
          <w:tcPr>
            <w:tcW w:w="4433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Р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оссийское физическое или юридическое лицо либо два лица или более, действующие без образования юридического лица по договору простого товарищества (договору о совместной деятельности), которые осуществляют инвестиционную и (или) хозяйственную деятельность, а также иностранный инвестор</w:t>
            </w:r>
          </w:p>
        </w:tc>
        <w:tc>
          <w:tcPr>
            <w:tcW w:w="4920" w:type="dxa"/>
            <w:gridSpan w:val="2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31" w:hRule="atLeast"/>
        </w:trPr>
        <w:tc>
          <w:tcPr>
            <w:tcW w:w="9353" w:type="dxa"/>
            <w:gridSpan w:val="4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(Описание иной группы участников отношений)</w:t>
            </w:r>
          </w:p>
        </w:tc>
      </w:tr>
      <w:tr>
        <w:trPr>
          <w:trHeight w:val="31" w:hRule="atLeast"/>
        </w:trPr>
        <w:tc>
          <w:tcPr>
            <w:tcW w:w="4433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4920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601" w:type="dxa"/>
            <w:gridSpan w:val="3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Источники данных: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анализ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8. Новые </w:t>
      </w:r>
      <w:r>
        <w:rPr>
          <w:rFonts w:cs="Times New Roman" w:ascii="Times New Roman" w:hAnsi="Times New Roman"/>
          <w:sz w:val="24"/>
          <w:szCs w:val="24"/>
        </w:rPr>
        <w:t>функции, полномочия, обязанности и права исполнительных органов местного самоуправления, а также порядок их реализации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8"/>
        <w:gridCol w:w="3119"/>
        <w:gridCol w:w="3117"/>
      </w:tblGrid>
      <w:tr>
        <w:trPr/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8.2.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Порядок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реализации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Оценка изменения трудозатрат и (или) потребностей в иных ресурсах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органа:</w:t>
            </w:r>
          </w:p>
        </w:tc>
        <w:tc>
          <w:tcPr>
            <w:tcW w:w="62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Администрация Вилючинского городского округа</w:t>
            </w:r>
          </w:p>
        </w:tc>
      </w:tr>
      <w:tr>
        <w:trPr>
          <w:trHeight w:val="986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9. </w:t>
      </w:r>
      <w:r>
        <w:rPr>
          <w:rFonts w:cs="Times New Roman" w:ascii="Times New Roman" w:hAnsi="Times New Roman"/>
          <w:sz w:val="24"/>
          <w:szCs w:val="24"/>
        </w:rPr>
        <w:t xml:space="preserve">Оценка соответствующих расходов (возможных поступлений) </w:t>
        <w:br/>
        <w:t>местного бюджета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3"/>
        <w:gridCol w:w="2579"/>
        <w:gridCol w:w="826"/>
        <w:gridCol w:w="2605"/>
        <w:gridCol w:w="2521"/>
      </w:tblGrid>
      <w:tr>
        <w:trPr/>
        <w:tc>
          <w:tcPr>
            <w:tcW w:w="340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343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видов расходов (возможных поступлений) местного бюджета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Количественная оценка расходов (возможных поступлений)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</w:t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органа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595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Администрация Вилючинского городского округа</w:t>
            </w:r>
          </w:p>
        </w:tc>
      </w:tr>
      <w:tr>
        <w:trPr/>
        <w:tc>
          <w:tcPr>
            <w:tcW w:w="82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9.4.1.</w:t>
            </w:r>
          </w:p>
        </w:tc>
        <w:tc>
          <w:tcPr>
            <w:tcW w:w="257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9.4.2.</w:t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Единовременные расходы в год возникновения: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2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7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9.4.3.</w:t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Периодические расходы за период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2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57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9.4.4.</w:t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Возможные поступления за период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9.5.</w:t>
            </w:r>
          </w:p>
        </w:tc>
        <w:tc>
          <w:tcPr>
            <w:tcW w:w="601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единовременные расходы: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9.6.</w:t>
            </w:r>
          </w:p>
        </w:tc>
        <w:tc>
          <w:tcPr>
            <w:tcW w:w="601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периодические расходы за год: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9.7.</w:t>
            </w:r>
          </w:p>
        </w:tc>
        <w:tc>
          <w:tcPr>
            <w:tcW w:w="601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возможные поступления за год: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9.8.</w:t>
            </w:r>
          </w:p>
        </w:tc>
        <w:tc>
          <w:tcPr>
            <w:tcW w:w="853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сведения о расходах (возможных поступлениях) местного бюджета:                                      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9.9.</w:t>
            </w:r>
          </w:p>
        </w:tc>
        <w:tc>
          <w:tcPr>
            <w:tcW w:w="8531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                     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10. </w:t>
      </w:r>
      <w:r>
        <w:rPr>
          <w:rFonts w:cs="Times New Roman" w:ascii="Times New Roman" w:hAnsi="Times New Roman"/>
          <w:sz w:val="24"/>
          <w:szCs w:val="24"/>
        </w:rPr>
        <w:t>Новые или изменяющие ранее предусмотренные нормативными правовыми актами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актов, а также порядок организации их исполнения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0"/>
        <w:gridCol w:w="4282"/>
        <w:gridCol w:w="3162"/>
      </w:tblGrid>
      <w:tr>
        <w:trPr/>
        <w:tc>
          <w:tcPr>
            <w:tcW w:w="1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Группа участников отношений</w:t>
            </w:r>
          </w:p>
        </w:tc>
        <w:tc>
          <w:tcPr>
            <w:tcW w:w="4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Порядок организации исполнения обязанностей</w:t>
            </w:r>
          </w:p>
        </w:tc>
      </w:tr>
      <w:tr>
        <w:trPr>
          <w:trHeight w:val="192" w:hRule="atLeast"/>
        </w:trPr>
        <w:tc>
          <w:tcPr>
            <w:tcW w:w="935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(Групп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ы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участников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отношений)</w:t>
            </w:r>
          </w:p>
        </w:tc>
      </w:tr>
      <w:tr>
        <w:trPr>
          <w:trHeight w:val="192" w:hRule="atLeast"/>
        </w:trPr>
        <w:tc>
          <w:tcPr>
            <w:tcW w:w="1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  <w:tc>
          <w:tcPr>
            <w:tcW w:w="4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11. </w:t>
      </w:r>
      <w:r>
        <w:rPr>
          <w:rFonts w:cs="Times New Roman" w:ascii="Times New Roman" w:hAnsi="Times New Roman"/>
          <w:sz w:val="24"/>
          <w:szCs w:val="24"/>
        </w:rPr>
        <w:t>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с изменением содержания таких обязанностей, а также связанные с введением или изменением ответственности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8"/>
        <w:gridCol w:w="3119"/>
        <w:gridCol w:w="3117"/>
      </w:tblGrid>
      <w:tr>
        <w:trPr/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Группа участников отношений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 оценка видов расходов (доходов)</w:t>
            </w:r>
          </w:p>
        </w:tc>
      </w:tr>
      <w:tr>
        <w:trPr>
          <w:trHeight w:val="192" w:hRule="atLeast"/>
        </w:trPr>
        <w:tc>
          <w:tcPr>
            <w:tcW w:w="935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(Групп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ы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участников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отношений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>
          <w:trHeight w:val="192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Р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оссийское физическое или юридическое лицо либо два лица или более, действующие без образования юридического лица по договору простого товарищества (договору о совместной деятельности), которые осуществляют инвестиционную и (или) хозяйственную деятельность, а также иностранный инвестор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расходы не предусмотрены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Информация об отмене обязанностей, запретов или ограничений для субъектов предпринимательской и инвестиционной деятельности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4"/>
        <w:gridCol w:w="3852"/>
        <w:gridCol w:w="4647"/>
      </w:tblGrid>
      <w:tr>
        <w:trPr/>
        <w:tc>
          <w:tcPr>
            <w:tcW w:w="4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отменяемых обязанностей, запретов или ограничений</w:t>
            </w:r>
          </w:p>
        </w:tc>
        <w:tc>
          <w:tcPr>
            <w:tcW w:w="46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 оценка затрат на выполнение отменяемых обязанностей, запретов или ограничений</w:t>
            </w:r>
          </w:p>
        </w:tc>
      </w:tr>
      <w:tr>
        <w:trPr/>
        <w:tc>
          <w:tcPr>
            <w:tcW w:w="4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  <w:tc>
          <w:tcPr>
            <w:tcW w:w="46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4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12.3.</w:t>
            </w:r>
          </w:p>
        </w:tc>
        <w:tc>
          <w:tcPr>
            <w:tcW w:w="8499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Нормативный правовой акт, в котором содержатся отменяемые обязанности, запреты или ограничения: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4"/>
        <w:gridCol w:w="1532"/>
        <w:gridCol w:w="2320"/>
        <w:gridCol w:w="2324"/>
        <w:gridCol w:w="2323"/>
      </w:tblGrid>
      <w:tr>
        <w:trPr/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Оценки вероятности наступления рисков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Степень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онтроля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рисков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13.5.</w:t>
            </w:r>
          </w:p>
        </w:tc>
        <w:tc>
          <w:tcPr>
            <w:tcW w:w="8499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4"/>
        <w:gridCol w:w="1171"/>
        <w:gridCol w:w="1739"/>
        <w:gridCol w:w="1622"/>
        <w:gridCol w:w="2157"/>
        <w:gridCol w:w="1811"/>
      </w:tblGrid>
      <w:tr>
        <w:trPr/>
        <w:tc>
          <w:tcPr>
            <w:tcW w:w="20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Мероприятия, необходимые для достижения целей регулирования</w:t>
            </w:r>
          </w:p>
        </w:tc>
        <w:tc>
          <w:tcPr>
            <w:tcW w:w="17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Сроки мероприятий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ожидаемого результата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Объем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финансирования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14.5.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Источники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финансирования</w:t>
            </w:r>
          </w:p>
        </w:tc>
      </w:tr>
      <w:tr>
        <w:trPr/>
        <w:tc>
          <w:tcPr>
            <w:tcW w:w="20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  <w:tc>
          <w:tcPr>
            <w:tcW w:w="17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118" w:hRule="atLeast"/>
        </w:trPr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14.6.</w:t>
            </w:r>
          </w:p>
        </w:tc>
        <w:tc>
          <w:tcPr>
            <w:tcW w:w="668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(млн. руб.):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4"/>
        <w:gridCol w:w="1426"/>
        <w:gridCol w:w="2163"/>
        <w:gridCol w:w="1537"/>
        <w:gridCol w:w="1029"/>
        <w:gridCol w:w="2344"/>
      </w:tblGrid>
      <w:tr>
        <w:trPr/>
        <w:tc>
          <w:tcPr>
            <w:tcW w:w="228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Цели предлагаемого регулирования</w:t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Индикативные показатели</w:t>
            </w:r>
          </w:p>
        </w:tc>
        <w:tc>
          <w:tcPr>
            <w:tcW w:w="25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Единицы измерения индикативных показателей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Способы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расчета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индикативных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показателей</w:t>
            </w:r>
          </w:p>
        </w:tc>
      </w:tr>
      <w:tr>
        <w:trPr>
          <w:trHeight w:val="330" w:hRule="atLeast"/>
        </w:trPr>
        <w:tc>
          <w:tcPr>
            <w:tcW w:w="228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5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15.5.</w:t>
            </w:r>
          </w:p>
        </w:tc>
        <w:tc>
          <w:tcPr>
            <w:tcW w:w="8499" w:type="dxa"/>
            <w:gridSpan w:val="5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15.6.</w:t>
            </w:r>
          </w:p>
        </w:tc>
        <w:tc>
          <w:tcPr>
            <w:tcW w:w="512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Оценка затрат на осуществление мониторинга (в среднем в год, млн. руб.):</w:t>
            </w:r>
          </w:p>
        </w:tc>
        <w:tc>
          <w:tcPr>
            <w:tcW w:w="337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15.7.</w:t>
            </w:r>
          </w:p>
        </w:tc>
        <w:tc>
          <w:tcPr>
            <w:tcW w:w="8499" w:type="dxa"/>
            <w:gridSpan w:val="5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источников информации для расчета показателей (индикаторов):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 Предполагаемая дата вступления в силу проекта нормативного правового акта, необходимость установления переходных положений                            (переходного периода), а также правового эксперимента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4"/>
        <w:gridCol w:w="3697"/>
        <w:gridCol w:w="694"/>
        <w:gridCol w:w="507"/>
        <w:gridCol w:w="3601"/>
      </w:tblGrid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16.1.</w:t>
            </w:r>
          </w:p>
        </w:tc>
        <w:tc>
          <w:tcPr>
            <w:tcW w:w="489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Предполагаемая дата вступления в силу проекта нормативного правового акта:</w:t>
            </w:r>
          </w:p>
        </w:tc>
        <w:tc>
          <w:tcPr>
            <w:tcW w:w="36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июнь 2026 года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16.2.</w:t>
            </w:r>
          </w:p>
        </w:tc>
        <w:tc>
          <w:tcPr>
            <w:tcW w:w="3697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Необходимость установления переходных положений (переходного периода):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есть / нет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  <w:tc>
          <w:tcPr>
            <w:tcW w:w="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16.3.</w:t>
            </w:r>
          </w:p>
        </w:tc>
        <w:tc>
          <w:tcPr>
            <w:tcW w:w="4108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(если есть необходимость):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дней с момента принятия проекта нормативного правового акта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.4.</w:t>
            </w:r>
          </w:p>
        </w:tc>
        <w:tc>
          <w:tcPr>
            <w:tcW w:w="8499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необходимости установления правового эксперимента: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.5.</w:t>
            </w:r>
          </w:p>
        </w:tc>
        <w:tc>
          <w:tcPr>
            <w:tcW w:w="8499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Цель проведения правового эксперимента: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.6.</w:t>
            </w:r>
          </w:p>
        </w:tc>
        <w:tc>
          <w:tcPr>
            <w:tcW w:w="8499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проведения правового эксперимента: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.7.</w:t>
            </w:r>
          </w:p>
        </w:tc>
        <w:tc>
          <w:tcPr>
            <w:tcW w:w="8499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Необходимые для проведения правового эксперимента материальные и организационно-технические ресурсы: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.8.</w:t>
            </w:r>
          </w:p>
        </w:tc>
        <w:tc>
          <w:tcPr>
            <w:tcW w:w="8499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Перечень муниципальных образований, на территориях которых проводится правовой эксперимент: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.9.</w:t>
            </w:r>
          </w:p>
        </w:tc>
        <w:tc>
          <w:tcPr>
            <w:tcW w:w="8499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Индикативные показатели, в соответствии с которыми проводится оценка достижения заявленных целей правового эксперимента по итогам его проведения: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 Сведения о размещении уведомления, сроках представления предложений в связи с таким размещением, лицах, представивших предложения, и должностных лицах разработчика проекта нормативного правового акта рассмотревших предоставленные предложения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4"/>
        <w:gridCol w:w="1419"/>
        <w:gridCol w:w="7081"/>
      </w:tblGrid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17.1.</w:t>
            </w:r>
          </w:p>
        </w:tc>
        <w:tc>
          <w:tcPr>
            <w:tcW w:w="8500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Полный электронный адрес размещения уведомления в информационно-телекоммуникационной сети «Интернет»: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https://viluchinsk-city.ru/economic/invest/ocenka%20reguliruemogo%20vozde.php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>
          <w:trHeight w:val="105" w:hRule="atLeast"/>
        </w:trPr>
        <w:tc>
          <w:tcPr>
            <w:tcW w:w="85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7.2.</w:t>
            </w:r>
          </w:p>
        </w:tc>
        <w:tc>
          <w:tcPr>
            <w:tcW w:w="850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Срок, в течение которого разработчиком проекта нормативного правового акта принимались предложения в связи с размещением уведомления о подготовке проекта нормативного правового акта:</w:t>
            </w:r>
          </w:p>
        </w:tc>
      </w:tr>
      <w:tr>
        <w:trPr>
          <w:trHeight w:val="105" w:hRule="atLeast"/>
        </w:trPr>
        <w:tc>
          <w:tcPr>
            <w:tcW w:w="85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24.07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</w:tr>
      <w:tr>
        <w:trPr>
          <w:trHeight w:val="105" w:hRule="atLeast"/>
        </w:trPr>
        <w:tc>
          <w:tcPr>
            <w:tcW w:w="85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Окончание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9.0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7.3.</w:t>
            </w:r>
          </w:p>
        </w:tc>
        <w:tc>
          <w:tcPr>
            <w:tcW w:w="8500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лицах, предоставивших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7.4.</w:t>
            </w:r>
          </w:p>
        </w:tc>
        <w:tc>
          <w:tcPr>
            <w:tcW w:w="8500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должностных лицах разработчика проекта нормативного правового акта, рассмотревших предоставленные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7.5.</w:t>
            </w:r>
          </w:p>
        </w:tc>
        <w:tc>
          <w:tcPr>
            <w:tcW w:w="8500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сведения о размещении уведомления: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Иные сведения, которые, по мнению разработчика проекта нормативного правового акта, позволяют оценить обоснованность предлагаемого регулирования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4"/>
        <w:gridCol w:w="8499"/>
      </w:tblGrid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18.1.</w:t>
            </w:r>
          </w:p>
        </w:tc>
        <w:tc>
          <w:tcPr>
            <w:tcW w:w="8499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необходимые, по мнению регулирующего органа, сведения: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18.2.</w:t>
            </w:r>
          </w:p>
        </w:tc>
        <w:tc>
          <w:tcPr>
            <w:tcW w:w="8499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19. Сведения о проведении публичного обсуждения проекта нормативного правового акта, сроках его проведения, органах местного самоуправления и представителях предпринимательского сообщества, извещенных о проведении публичных консультаций, а также о лицах, представивших предложения, и должностных лицах разработчика проекта нормативного правового акта рассмотревших представленные предложения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4"/>
        <w:gridCol w:w="1475"/>
        <w:gridCol w:w="7025"/>
      </w:tblGrid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.1.</w:t>
            </w:r>
          </w:p>
        </w:tc>
        <w:tc>
          <w:tcPr>
            <w:tcW w:w="8500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tabs>
                <w:tab w:val="clear" w:pos="708"/>
                <w:tab w:val="left" w:pos="21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Полный электронный адрес размещения проекта нормативного правового акта в информационно-телекоммуникационной сети «Интернет»: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https://viluchinsk-city.ru/about/proekty-dokumentov/index.php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>
          <w:trHeight w:val="105" w:hRule="atLeast"/>
        </w:trPr>
        <w:tc>
          <w:tcPr>
            <w:tcW w:w="85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Срок, в течение которого являющееся разработчиком проекта нормативного правового акта принимались предложения в связи проведением публичного обсуждения проекта нормативного правового акта:</w:t>
            </w:r>
          </w:p>
        </w:tc>
      </w:tr>
      <w:tr>
        <w:trPr>
          <w:trHeight w:val="105" w:hRule="atLeast"/>
        </w:trPr>
        <w:tc>
          <w:tcPr>
            <w:tcW w:w="85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0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24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</w:tr>
      <w:tr>
        <w:trPr>
          <w:trHeight w:val="105" w:hRule="atLeast"/>
        </w:trPr>
        <w:tc>
          <w:tcPr>
            <w:tcW w:w="85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Окончание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0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9.0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.3.</w:t>
            </w:r>
          </w:p>
        </w:tc>
        <w:tc>
          <w:tcPr>
            <w:tcW w:w="8500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лицах, представивших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.4.</w:t>
            </w:r>
          </w:p>
        </w:tc>
        <w:tc>
          <w:tcPr>
            <w:tcW w:w="8500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должностных лицах разработчика проекта нормативного правового акта, рассмотревших предоставленные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.5.</w:t>
            </w:r>
          </w:p>
        </w:tc>
        <w:tc>
          <w:tcPr>
            <w:tcW w:w="8500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сведения о проведении публичного обсуждения проекта нормативного правового акта: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Указание (при наличии) на приложения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36"/>
        <w:gridCol w:w="2287"/>
        <w:gridCol w:w="2131"/>
      </w:tblGrid>
      <w:tr>
        <w:trPr/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Руководитель разработчика проекта нормативного правового акта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Земцова Т.А.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инициалы, фамилия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Подпись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Исп. ЗагальскаяД.В.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телефон: </w:t>
      </w:r>
      <w:bookmarkStart w:id="0" w:name="P193"/>
      <w:bookmarkEnd w:id="0"/>
      <w:r>
        <w:rPr>
          <w:rFonts w:eastAsia="Calibri" w:cs="Times New Roman" w:ascii="Times New Roman" w:hAnsi="Times New Roman"/>
          <w:sz w:val="20"/>
          <w:szCs w:val="20"/>
        </w:rPr>
        <w:t xml:space="preserve">3-44-37 </w:t>
      </w:r>
      <w:bookmarkStart w:id="1" w:name="_GoBack"/>
      <w:bookmarkEnd w:id="1"/>
      <w:r>
        <w:rPr>
          <w:rFonts w:eastAsia="Calibri" w:cs="Times New Roman" w:ascii="Times New Roman" w:hAnsi="Times New Roman"/>
          <w:sz w:val="20"/>
          <w:szCs w:val="20"/>
        </w:rPr>
        <w:t>(доб. 315),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каб. 11-а</w:t>
      </w:r>
    </w:p>
    <w:sectPr>
      <w:type w:val="nextPage"/>
      <w:pgSz w:w="11906" w:h="16838"/>
      <w:pgMar w:left="1701" w:right="851" w:gutter="0" w:header="0" w:top="680" w:footer="0" w:bottom="6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2d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1436f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436f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725f6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7b2d4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b2d4e"/>
    <w:pPr>
      <w:spacing w:lineRule="auto" w:line="252" w:before="0" w:after="16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725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b2d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4901</TotalTime>
  <Application>LibreOffice/7.6.7.2$Linux_X86_64 LibreOffice_project/60$Build-2</Application>
  <AppVersion>15.0000</AppVersion>
  <Pages>9</Pages>
  <Words>2440</Words>
  <Characters>18795</Characters>
  <CharactersWithSpaces>20961</CharactersWithSpaces>
  <Paragraphs>368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2017-09-15T01:30:00Z</dcterms:created>
  <dc:creator>Дария В. Загальская</dc:creator>
  <dc:description/>
  <dc:language>ru-RU</dc:language>
  <cp:lastModifiedBy/>
  <cp:lastPrinted>2024-06-13T00:16:00Z</cp:lastPrinted>
  <dcterms:modified xsi:type="dcterms:W3CDTF">2026-07-23T10:33:08Z</dcterms:modified>
  <cp:revision>163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