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Форма сводного отчета о результатах проведения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оценки регулирующего воздействия проекта нормативного правового акта</w:t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 средней степенью регулирующего воздействия</w:t>
      </w:r>
    </w:p>
    <w:tbl>
      <w:tblPr>
        <w:tblStyle w:val="a4"/>
        <w:tblW w:w="928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3"/>
        <w:gridCol w:w="1396"/>
        <w:gridCol w:w="4869"/>
      </w:tblGrid>
      <w:tr>
        <w:trPr>
          <w:trHeight w:val="158" w:hRule="atLeast"/>
        </w:trPr>
        <w:tc>
          <w:tcPr>
            <w:tcW w:w="3023" w:type="dxa"/>
            <w:vMerge w:val="restart"/>
            <w:tcBorders/>
          </w:tcPr>
          <w:tbl>
            <w:tblPr>
              <w:tblStyle w:val="a4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264"/>
              <w:gridCol w:w="2542"/>
            </w:tblGrid>
            <w:tr>
              <w:trPr/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25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28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26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проведения публичного обсуждения проекта нормативного правового акта:</w:t>
            </w:r>
          </w:p>
        </w:tc>
      </w:tr>
      <w:tr>
        <w:trPr>
          <w:trHeight w:val="158" w:hRule="atLeast"/>
        </w:trPr>
        <w:tc>
          <w:tcPr>
            <w:tcW w:w="30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48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10.04.2025</w:t>
            </w:r>
          </w:p>
        </w:tc>
      </w:tr>
      <w:tr>
        <w:trPr>
          <w:trHeight w:val="157" w:hRule="atLeast"/>
        </w:trPr>
        <w:tc>
          <w:tcPr>
            <w:tcW w:w="30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окончание:</w:t>
            </w:r>
          </w:p>
        </w:tc>
        <w:tc>
          <w:tcPr>
            <w:tcW w:w="48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Общая информация</w:t>
      </w:r>
    </w:p>
    <w:tbl>
      <w:tblPr>
        <w:tblStyle w:val="a4"/>
        <w:tblW w:w="9331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3160"/>
        <w:gridCol w:w="5508"/>
      </w:tblGrid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структурного подразделения администрации Вилючинского городского округа являющегося разработчиком проекта нормативного правового акта (далее – разработчик проекта нормативного правового акта):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Отдел по работе с предпринимателями, инвестиционной политики управления экономического развития и поддержки предпринимательства администрации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иных соисполнителях: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и наименование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1.4.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проблемы, на решение которой направлен предлагаемый способ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Увеличение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расположенных на территории Вилючинского городского округа.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1.5.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Основание для разработки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Федеральный закон от 24.04.2020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протокольные поручения рабочего совещания Глав муниципальных образований в Камчатском крае при Губернаторе Камчатского края от 14.11.2024 (№ Пр-01-471 от 22.11.2024), письмо Министерства экономического развития Камчатского края от 29.11.2024 № 36.05/5670.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1.6.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целей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окращение на территории Вилючинского городского округа количества объектов общественного питания, имеющих зал обслуживания посетителей общей площадью менее 50 квадратных метров и реализующих алкогольную продукцию населению, за счет увеличения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1.7.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предлагаемого способа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Установить, что на территории Вилючинского городского округа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метров, не допускается на территории, прилегающей к многоквартирным домам.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Границы прилегающих территорий к многоквартирным домам территорий, на которых не допускается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устанавливаются на расстоянии 20 метров по прямой от ближайшей стены многоквартирного дома (включая встроенные и встроенно-пристроенные помещения) до входа в объект общественного питания без учета рельефа территории, искусственных и естественных преград.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6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1.8.</w:t>
            </w:r>
          </w:p>
        </w:tc>
        <w:tc>
          <w:tcPr>
            <w:tcW w:w="866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Контактная информация исполнителя (разработчика проекта нормативного правового акта):</w:t>
            </w:r>
          </w:p>
        </w:tc>
      </w:tr>
      <w:tr>
        <w:trPr/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Ф.И.О.:</w:t>
            </w:r>
          </w:p>
        </w:tc>
        <w:tc>
          <w:tcPr>
            <w:tcW w:w="5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Загальская Дарья Витальевна</w:t>
            </w:r>
          </w:p>
        </w:tc>
      </w:tr>
      <w:tr>
        <w:trPr/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Должность:</w:t>
            </w:r>
          </w:p>
        </w:tc>
        <w:tc>
          <w:tcPr>
            <w:tcW w:w="5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начальник отдела по работе с предпринимателями, инвестиционной политики управления экономического развития и поддержки предпринимательства -администрации Вилючинского городского округа</w:t>
            </w:r>
          </w:p>
        </w:tc>
      </w:tr>
      <w:tr>
        <w:trPr>
          <w:trHeight w:val="249" w:hRule="atLeast"/>
        </w:trPr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Тел:</w:t>
            </w:r>
          </w:p>
        </w:tc>
        <w:tc>
          <w:tcPr>
            <w:tcW w:w="5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8 (415-35) 3-44-37 доб. 315</w:t>
            </w:r>
          </w:p>
        </w:tc>
      </w:tr>
      <w:tr>
        <w:trPr>
          <w:trHeight w:val="249" w:hRule="atLeast"/>
        </w:trPr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электронной почты:</w:t>
            </w:r>
          </w:p>
        </w:tc>
        <w:tc>
          <w:tcPr>
            <w:tcW w:w="5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investvgo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viladm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Степень регулирующего воздействия проекта нормативного правового акта</w:t>
      </w:r>
    </w:p>
    <w:tbl>
      <w:tblPr>
        <w:tblStyle w:val="a4"/>
        <w:tblW w:w="9391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8"/>
        <w:gridCol w:w="4298"/>
        <w:gridCol w:w="4405"/>
      </w:tblGrid>
      <w:tr>
        <w:trPr/>
        <w:tc>
          <w:tcPr>
            <w:tcW w:w="6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2.1.</w:t>
            </w:r>
          </w:p>
        </w:tc>
        <w:tc>
          <w:tcPr>
            <w:tcW w:w="4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44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средняя</w:t>
            </w:r>
          </w:p>
        </w:tc>
      </w:tr>
      <w:tr>
        <w:trPr/>
        <w:tc>
          <w:tcPr>
            <w:tcW w:w="6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2.2.</w:t>
            </w:r>
          </w:p>
        </w:tc>
        <w:tc>
          <w:tcPr>
            <w:tcW w:w="8703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Проект постановления администрации Вилючинского городского округа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округа» содержит положения, изменяющие ранее предусмотренные нормативными правовыми актами Вилючинского городского округа обязанности для субъектов предпринимательской деятельности.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4"/>
        <w:tblW w:w="9346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1"/>
        <w:gridCol w:w="8664"/>
      </w:tblGrid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Исполнение протокольных поручений рабочего совещания Глав муниципальных образований в Камчатском крае при Губернаторе Камчатского края от 14.11.2024 (№ Пр-01-471 от 22.11.2024), сокращение потребления алкогольной продукции жителями Вилючинского городского округа в объектах общественного питания имеющих зал обслуживания посетителей общей площадью менее 50 квадратных метров и попадающих в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3.4.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Проблема не может быть решена без вмешательства со стороны органов исполнительной власти муниципального образования, за счет своевременного внесения предлагаемых изменений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3.5.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3.6.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проблеме: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Анализ опыта иных муниципальных образований </w:t>
        <w:br/>
        <w:t>в соответствующих сферах деятельности:</w:t>
      </w:r>
    </w:p>
    <w:tbl>
      <w:tblPr>
        <w:tblStyle w:val="a4"/>
        <w:tblW w:w="9404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8724"/>
      </w:tblGrid>
      <w:tr>
        <w:trPr/>
        <w:tc>
          <w:tcPr>
            <w:tcW w:w="67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72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Опыт муниципальных образований в соответствующих сферах деятельности: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bookmarkStart w:id="0" w:name="anchor0"/>
            <w:bookmarkEnd w:id="0"/>
            <w:r>
              <w:rPr>
                <w:rFonts w:eastAsia="Times New Roman" w:cs="Times New Roman" w:ascii="Times New Roman" w:hAnsi="Times New Roman"/>
                <w:i/>
                <w:kern w:val="2"/>
                <w:sz w:val="24"/>
                <w:szCs w:val="24"/>
                <w:lang w:val="ru-RU" w:eastAsia="ru-RU" w:bidi="ar-SA"/>
              </w:rPr>
              <w:t>Постановление администрации городского округа «город Архангельск» от 22.06.2021 № 1467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 в объектах общественного питания»;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4"/>
                <w:szCs w:val="24"/>
                <w:lang w:val="ru-RU" w:eastAsia="ru-RU" w:bidi="ar-SA"/>
              </w:rPr>
              <w:t>Постановление администрации муниципального образования «Красногорский район» от 28.09.2020 № 503 «Об определении    границ прилегающих территорий к многоквартирным домам, на    которых не допускается розничная продажа алкогольной продукции  при оказании услуг общественного питания на территории муниципального образования «Красногорский район».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72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Официальные сайты органов государственной власти и органов местного самоуправления в информационно-телекоммуникационной сети «Интернет»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Цели предлагаемого регулирования и их соответствие принципам </w:t>
      </w:r>
    </w:p>
    <w:p>
      <w:pPr>
        <w:pStyle w:val="ListParagraph"/>
        <w:spacing w:lineRule="auto" w:line="240" w:before="240" w:after="0"/>
        <w:ind w:left="1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правового регулирования</w:t>
      </w:r>
    </w:p>
    <w:tbl>
      <w:tblPr>
        <w:tblStyle w:val="a4"/>
        <w:tblW w:w="9404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3671"/>
        <w:gridCol w:w="762"/>
        <w:gridCol w:w="4291"/>
      </w:tblGrid>
      <w:tr>
        <w:trPr>
          <w:trHeight w:val="55" w:hRule="atLeast"/>
        </w:trPr>
        <w:tc>
          <w:tcPr>
            <w:tcW w:w="67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367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регулирования:</w:t>
            </w:r>
          </w:p>
        </w:tc>
        <w:tc>
          <w:tcPr>
            <w:tcW w:w="76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5.2.</w:t>
            </w:r>
          </w:p>
        </w:tc>
        <w:tc>
          <w:tcPr>
            <w:tcW w:w="42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Установленные сроки достижения целей предлагаемого регулирования:</w:t>
            </w:r>
          </w:p>
        </w:tc>
      </w:tr>
      <w:tr>
        <w:trPr>
          <w:trHeight w:val="2576" w:hRule="atLeast"/>
        </w:trPr>
        <w:tc>
          <w:tcPr>
            <w:tcW w:w="435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Увеличение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на территории Вилючинского городского округа</w:t>
            </w:r>
          </w:p>
        </w:tc>
        <w:tc>
          <w:tcPr>
            <w:tcW w:w="505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 момента вступления в силу нормативного правового акта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24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соответствия целей предлагаемого регулирования положениям послания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Федерации, программе социально-экономического развития Российской Федерации, стратегии социально-экономического развития Камчатского края, муниципальным нормативным правовым актам: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Проект постановления администрации Вилючинского городского округа </w:t>
              <w:br/>
              <w:t>«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» разработан в соответствии с  Федеральным законом от 22.11.1995 № 171-ФЗ            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Камчатского края от 04.05.2011 № 598                «Об отдельных вопросах в области производства и оборота этилового спирта, алкогольной и спиртосодержащей продукции в Камчатском крае», Уставом Вилючинского городского округа закрытого административно-территориального образования города Вилючинска Камчатского края.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24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целях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4"/>
        <w:tblW w:w="9346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1"/>
        <w:gridCol w:w="8664"/>
      </w:tblGrid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Принятие постановления администрации Вилючинского городского округа            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округа».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.3.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выбора предлагаемого способа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В соответствии с постановлением Правительства Российской Федерации              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.4.</w:t>
            </w:r>
          </w:p>
        </w:tc>
        <w:tc>
          <w:tcPr>
            <w:tcW w:w="8664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предлагаемом способе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7. Основные группы субъектов предпринимательской и инвестиционной деятельности, иные заинтересованные лица, включая исполнительные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4"/>
        <w:tblW w:w="9346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4"/>
        <w:gridCol w:w="3671"/>
        <w:gridCol w:w="761"/>
        <w:gridCol w:w="4269"/>
      </w:tblGrid>
      <w:tr>
        <w:trPr>
          <w:trHeight w:val="55" w:hRule="atLeast"/>
        </w:trPr>
        <w:tc>
          <w:tcPr>
            <w:tcW w:w="64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367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отношений:</w:t>
            </w:r>
          </w:p>
        </w:tc>
        <w:tc>
          <w:tcPr>
            <w:tcW w:w="7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42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количества участников отношений:</w:t>
            </w:r>
          </w:p>
        </w:tc>
      </w:tr>
      <w:tr>
        <w:trPr>
          <w:trHeight w:val="52" w:hRule="atLeast"/>
        </w:trPr>
        <w:tc>
          <w:tcPr>
            <w:tcW w:w="9345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группы субъектов предпринимательской и инвестиционной деятельности)</w:t>
            </w:r>
          </w:p>
        </w:tc>
      </w:tr>
      <w:tr>
        <w:trPr>
          <w:trHeight w:val="1288" w:hRule="atLeast"/>
        </w:trPr>
        <w:tc>
          <w:tcPr>
            <w:tcW w:w="4315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Юридические лица и индивидуальные предприниматели, осуществляющие розничную продажу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на территории Вилючинского городского округа.</w:t>
            </w:r>
          </w:p>
        </w:tc>
        <w:tc>
          <w:tcPr>
            <w:tcW w:w="503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31" w:hRule="atLeast"/>
        </w:trPr>
        <w:tc>
          <w:tcPr>
            <w:tcW w:w="9345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иной группы участников отношений)</w:t>
            </w:r>
          </w:p>
        </w:tc>
      </w:tr>
      <w:tr>
        <w:trPr>
          <w:trHeight w:val="31" w:hRule="atLeast"/>
        </w:trPr>
        <w:tc>
          <w:tcPr>
            <w:tcW w:w="4315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503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4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01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Источники данных: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анализ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8. Новые </w:t>
      </w:r>
      <w:r>
        <w:rPr>
          <w:rFonts w:cs="Times New Roman" w:ascii="Times New Roman" w:hAnsi="Times New Roman"/>
          <w:sz w:val="24"/>
          <w:szCs w:val="24"/>
        </w:rPr>
        <w:t>функции, полномочия, обязанности и права исполнительных органов местного самоуправления, а также порядок их реализации</w:t>
      </w:r>
    </w:p>
    <w:tbl>
      <w:tblPr>
        <w:tblStyle w:val="a4"/>
        <w:tblW w:w="934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00"/>
        <w:gridCol w:w="3126"/>
        <w:gridCol w:w="3221"/>
      </w:tblGrid>
      <w:tr>
        <w:trPr/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Порядок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реализации</w:t>
            </w:r>
          </w:p>
        </w:tc>
        <w:tc>
          <w:tcPr>
            <w:tcW w:w="32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изменения трудозатрат и (или) потребностей в иных ресурсах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органа:</w:t>
            </w:r>
          </w:p>
        </w:tc>
        <w:tc>
          <w:tcPr>
            <w:tcW w:w="634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>
          <w:trHeight w:val="986" w:hRule="atLeast"/>
        </w:trPr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Увеличение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округа.</w:t>
            </w:r>
          </w:p>
        </w:tc>
        <w:tc>
          <w:tcPr>
            <w:tcW w:w="3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В соответствии с постановлением администрации Вилючинского городского округа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округа».</w:t>
            </w:r>
          </w:p>
        </w:tc>
        <w:tc>
          <w:tcPr>
            <w:tcW w:w="32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Дополнительные ресурсы не потребуются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9. </w:t>
      </w:r>
      <w:r>
        <w:rPr>
          <w:rFonts w:cs="Times New Roman" w:ascii="Times New Roman" w:hAnsi="Times New Roman"/>
          <w:sz w:val="24"/>
          <w:szCs w:val="24"/>
        </w:rPr>
        <w:t xml:space="preserve">Оценка соответствующих расходов (возможных поступлений) </w:t>
        <w:br/>
        <w:t>местного бюджета</w:t>
      </w:r>
    </w:p>
    <w:tbl>
      <w:tblPr>
        <w:tblStyle w:val="a4"/>
        <w:tblW w:w="9400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473"/>
        <w:gridCol w:w="830"/>
        <w:gridCol w:w="2610"/>
        <w:gridCol w:w="2638"/>
      </w:tblGrid>
      <w:tr>
        <w:trPr/>
        <w:tc>
          <w:tcPr>
            <w:tcW w:w="332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34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видов расходов (возможных поступлений) местного бюджета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Количественная оценка расходов (возможных поступлений)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</w:t>
            </w:r>
          </w:p>
        </w:tc>
        <w:tc>
          <w:tcPr>
            <w:tcW w:w="24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60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/>
        <w:tc>
          <w:tcPr>
            <w:tcW w:w="84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9.4.1.</w:t>
            </w:r>
          </w:p>
        </w:tc>
        <w:tc>
          <w:tcPr>
            <w:tcW w:w="247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9.4.2.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Единовременные расходы в год возникновения: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9.4.3.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Периодические расходы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47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9.4.4.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Возможные поступления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9.5.</w:t>
            </w:r>
          </w:p>
        </w:tc>
        <w:tc>
          <w:tcPr>
            <w:tcW w:w="59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единовременные расходы: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9.6.</w:t>
            </w:r>
          </w:p>
        </w:tc>
        <w:tc>
          <w:tcPr>
            <w:tcW w:w="59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периодические расходы за год: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9.7.</w:t>
            </w:r>
          </w:p>
        </w:tc>
        <w:tc>
          <w:tcPr>
            <w:tcW w:w="59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возможные поступления за год: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9.8.</w:t>
            </w:r>
          </w:p>
        </w:tc>
        <w:tc>
          <w:tcPr>
            <w:tcW w:w="855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расходах (возможных поступлениях) местного бюджета:                 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9.9.</w:t>
            </w:r>
          </w:p>
        </w:tc>
        <w:tc>
          <w:tcPr>
            <w:tcW w:w="8551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10. </w:t>
      </w:r>
      <w:r>
        <w:rPr>
          <w:rFonts w:cs="Times New Roman" w:ascii="Times New Roman" w:hAnsi="Times New Roman"/>
          <w:sz w:val="24"/>
          <w:szCs w:val="24"/>
        </w:rPr>
        <w:t>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актов, а также порядок организации их исполнения</w:t>
      </w:r>
    </w:p>
    <w:tbl>
      <w:tblPr>
        <w:tblStyle w:val="a4"/>
        <w:tblW w:w="9358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5"/>
        <w:gridCol w:w="4179"/>
        <w:gridCol w:w="3254"/>
      </w:tblGrid>
      <w:tr>
        <w:trPr/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4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Порядок организации исполнения обязанностей</w:t>
            </w:r>
          </w:p>
        </w:tc>
      </w:tr>
      <w:tr>
        <w:trPr>
          <w:trHeight w:val="192" w:hRule="atLeast"/>
        </w:trPr>
        <w:tc>
          <w:tcPr>
            <w:tcW w:w="935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отношений)</w:t>
            </w:r>
          </w:p>
        </w:tc>
      </w:tr>
      <w:tr>
        <w:trPr>
          <w:trHeight w:val="192" w:hRule="atLeast"/>
        </w:trPr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4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11. </w:t>
      </w:r>
      <w:r>
        <w:rPr>
          <w:rFonts w:cs="Times New Roman" w:ascii="Times New Roman" w:hAnsi="Times New Roman"/>
          <w:sz w:val="24"/>
          <w:szCs w:val="24"/>
        </w:rPr>
        <w:t>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обязанностей, а также связанные с введением или изменением ответственности</w:t>
      </w:r>
    </w:p>
    <w:tbl>
      <w:tblPr>
        <w:tblStyle w:val="a4"/>
        <w:tblW w:w="937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2"/>
        <w:gridCol w:w="3126"/>
        <w:gridCol w:w="3232"/>
      </w:tblGrid>
      <w:tr>
        <w:trPr/>
        <w:tc>
          <w:tcPr>
            <w:tcW w:w="30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3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видов расходов (доходов)</w:t>
            </w:r>
          </w:p>
        </w:tc>
      </w:tr>
      <w:tr>
        <w:trPr>
          <w:trHeight w:val="192" w:hRule="atLeast"/>
        </w:trPr>
        <w:tc>
          <w:tcPr>
            <w:tcW w:w="937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92" w:hRule="atLeast"/>
        </w:trPr>
        <w:tc>
          <w:tcPr>
            <w:tcW w:w="30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Юридические лица и индивидуальные предприниматели, осуществляющие розничную продажу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на территории Вилючинского городского округа.</w:t>
            </w:r>
          </w:p>
        </w:tc>
        <w:tc>
          <w:tcPr>
            <w:tcW w:w="3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расходы не предусмотрены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Информация об отмене обязанностей, запретов или ограничений для субъектов предпринимательской и инвестиционной деятельности</w:t>
      </w:r>
    </w:p>
    <w:tbl>
      <w:tblPr>
        <w:tblStyle w:val="a4"/>
        <w:tblW w:w="9346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7"/>
        <w:gridCol w:w="3804"/>
        <w:gridCol w:w="4754"/>
      </w:tblGrid>
      <w:tr>
        <w:trPr/>
        <w:tc>
          <w:tcPr>
            <w:tcW w:w="459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отменяемых обязанностей, запретов или ограничений</w:t>
            </w:r>
          </w:p>
        </w:tc>
        <w:tc>
          <w:tcPr>
            <w:tcW w:w="4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затрат на выполнение отменяемых обязанностей, запретов или ограничений</w:t>
            </w:r>
          </w:p>
        </w:tc>
      </w:tr>
      <w:tr>
        <w:trPr/>
        <w:tc>
          <w:tcPr>
            <w:tcW w:w="459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4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459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9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12.3.</w:t>
            </w:r>
          </w:p>
        </w:tc>
        <w:tc>
          <w:tcPr>
            <w:tcW w:w="855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Нормативный правовой акт, в котором содержатся отменяемые обязанности, запреты или ограничения: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tbl>
      <w:tblPr>
        <w:tblStyle w:val="a4"/>
        <w:tblW w:w="936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0"/>
        <w:gridCol w:w="1463"/>
        <w:gridCol w:w="2325"/>
        <w:gridCol w:w="2312"/>
        <w:gridCol w:w="2463"/>
      </w:tblGrid>
      <w:tr>
        <w:trPr/>
        <w:tc>
          <w:tcPr>
            <w:tcW w:w="22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Оценки вероятности наступления рисков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Степень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онтроля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рисков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13.5.</w:t>
            </w:r>
          </w:p>
        </w:tc>
        <w:tc>
          <w:tcPr>
            <w:tcW w:w="8563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Style w:val="a4"/>
        <w:tblW w:w="9354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0"/>
        <w:gridCol w:w="1275"/>
        <w:gridCol w:w="1738"/>
        <w:gridCol w:w="1612"/>
        <w:gridCol w:w="2163"/>
        <w:gridCol w:w="1916"/>
      </w:tblGrid>
      <w:tr>
        <w:trPr/>
        <w:tc>
          <w:tcPr>
            <w:tcW w:w="19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Мероприятия, необходимые для достижения целей регулирования</w:t>
            </w:r>
          </w:p>
        </w:tc>
        <w:tc>
          <w:tcPr>
            <w:tcW w:w="1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мероприятий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ожидаемого результата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Объем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Источники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</w:tr>
      <w:tr>
        <w:trPr/>
        <w:tc>
          <w:tcPr>
            <w:tcW w:w="19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1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118" w:hRule="atLeast"/>
        </w:trPr>
        <w:tc>
          <w:tcPr>
            <w:tcW w:w="6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14.6.</w:t>
            </w:r>
          </w:p>
        </w:tc>
        <w:tc>
          <w:tcPr>
            <w:tcW w:w="6788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(млн. руб.):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Style w:val="a4"/>
        <w:tblW w:w="9413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6"/>
        <w:gridCol w:w="1412"/>
        <w:gridCol w:w="2164"/>
        <w:gridCol w:w="1539"/>
        <w:gridCol w:w="1037"/>
        <w:gridCol w:w="2474"/>
      </w:tblGrid>
      <w:tr>
        <w:trPr/>
        <w:tc>
          <w:tcPr>
            <w:tcW w:w="21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</w:t>
            </w:r>
          </w:p>
        </w:tc>
        <w:tc>
          <w:tcPr>
            <w:tcW w:w="25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Единицы измерения индикативных показателей</w:t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Способы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расчета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индикативных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показателей</w:t>
            </w:r>
          </w:p>
        </w:tc>
      </w:tr>
      <w:tr>
        <w:trPr>
          <w:trHeight w:val="330" w:hRule="atLeast"/>
        </w:trPr>
        <w:tc>
          <w:tcPr>
            <w:tcW w:w="21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15.5.</w:t>
            </w:r>
          </w:p>
        </w:tc>
        <w:tc>
          <w:tcPr>
            <w:tcW w:w="8626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15.6.</w:t>
            </w:r>
          </w:p>
        </w:tc>
        <w:tc>
          <w:tcPr>
            <w:tcW w:w="511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351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15.7.</w:t>
            </w:r>
          </w:p>
        </w:tc>
        <w:tc>
          <w:tcPr>
            <w:tcW w:w="8626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источников информации для расчета показателей (индикаторов):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Предполагаемая дата вступления в силу проекта нормативного правового акта, необходимость установления переходных положений                            (переходного периода), а также правового эксперимента</w:t>
      </w:r>
    </w:p>
    <w:tbl>
      <w:tblPr>
        <w:tblStyle w:val="a4"/>
        <w:tblW w:w="9318" w:type="dxa"/>
        <w:jc w:val="left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3662"/>
        <w:gridCol w:w="700"/>
        <w:gridCol w:w="502"/>
        <w:gridCol w:w="3716"/>
      </w:tblGrid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16.1.</w:t>
            </w:r>
          </w:p>
        </w:tc>
        <w:tc>
          <w:tcPr>
            <w:tcW w:w="486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37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Май 2025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года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16.2.</w:t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Необходимость установления переходных положений (переходного периода):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есть / нет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16.3.</w:t>
            </w:r>
          </w:p>
        </w:tc>
        <w:tc>
          <w:tcPr>
            <w:tcW w:w="421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(если есть необходимость):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дней с момента принятия проекта нормативного правового акта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необходимости установления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.6.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.7.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Необходимые для проведения правового эксперимента материальные и организационно-технические ресурсы: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.8.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Перечень муниципальных образований, на территориях которых проводится правовой эксперимент: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.9.</w:t>
            </w:r>
          </w:p>
        </w:tc>
        <w:tc>
          <w:tcPr>
            <w:tcW w:w="858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показатели, в соответствии с которыми проводится оценка достижения заявленных целей правового эксперимента по итогам его проведения: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Сведения о размещении уведомления, сроках представления предложений в связи с таким размещением, лицах, представивших предложения, и должностных лицах разработчика проекта нормативного правового акта рассмотревших предоставленные предложения</w:t>
      </w:r>
    </w:p>
    <w:tbl>
      <w:tblPr>
        <w:tblStyle w:val="a4"/>
        <w:tblW w:w="935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1373"/>
        <w:gridCol w:w="7189"/>
      </w:tblGrid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17.1.</w:t>
            </w:r>
          </w:p>
        </w:tc>
        <w:tc>
          <w:tcPr>
            <w:tcW w:w="856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78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7.2.</w:t>
            </w:r>
          </w:p>
        </w:tc>
        <w:tc>
          <w:tcPr>
            <w:tcW w:w="85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разработчиком проекта нормативного правового акта принимались предложения в связи с размещением уведомления о подготовке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78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10.04.2025</w:t>
            </w:r>
          </w:p>
        </w:tc>
      </w:tr>
      <w:tr>
        <w:trPr>
          <w:trHeight w:val="105" w:hRule="atLeast"/>
        </w:trPr>
        <w:tc>
          <w:tcPr>
            <w:tcW w:w="78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7.3.</w:t>
            </w:r>
          </w:p>
        </w:tc>
        <w:tc>
          <w:tcPr>
            <w:tcW w:w="856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предоставивших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7.4.</w:t>
            </w:r>
          </w:p>
        </w:tc>
        <w:tc>
          <w:tcPr>
            <w:tcW w:w="856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7.5.</w:t>
            </w:r>
          </w:p>
        </w:tc>
        <w:tc>
          <w:tcPr>
            <w:tcW w:w="856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размещении уведомления: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Иные сведения, которые, по мнению разработчика проекта нормативного правового акта, позволяют оценить обоснованность предлагаемого регулирования</w:t>
      </w:r>
    </w:p>
    <w:tbl>
      <w:tblPr>
        <w:tblStyle w:val="a4"/>
        <w:tblW w:w="935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8561"/>
      </w:tblGrid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18.1.</w:t>
            </w:r>
          </w:p>
        </w:tc>
        <w:tc>
          <w:tcPr>
            <w:tcW w:w="856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необходимые, по мнению регулирующего органа, сведения: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18.2.</w:t>
            </w:r>
          </w:p>
        </w:tc>
        <w:tc>
          <w:tcPr>
            <w:tcW w:w="856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 Сведения о проведении публичного обсуждения проекта нормативного правового акта, сроках его проведения, органах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предложения, и должностных лицах разработчика проекта нормативного правового акта рассмотревших представленные предложения</w:t>
      </w:r>
    </w:p>
    <w:tbl>
      <w:tblPr>
        <w:tblStyle w:val="a4"/>
        <w:tblW w:w="9331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5"/>
        <w:gridCol w:w="1425"/>
        <w:gridCol w:w="7131"/>
      </w:tblGrid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.1.</w:t>
            </w:r>
          </w:p>
        </w:tc>
        <w:tc>
          <w:tcPr>
            <w:tcW w:w="8556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tabs>
                <w:tab w:val="clear" w:pos="708"/>
                <w:tab w:val="left" w:pos="21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Полный электронный адрес размещения проекта нормативного правового акта в информационно-телекоммуникационной сети «Интернет»: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https://viluchinsk-city.ru/about/proekty-dokumentov/index.php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являющееся разработчиком проекта нормативного правового акта принимались предложения в связи проведением публичного обсуждения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10.04.2025</w:t>
            </w:r>
          </w:p>
        </w:tc>
      </w:tr>
      <w:tr>
        <w:trPr>
          <w:trHeight w:val="105" w:hRule="atLeast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.3.</w:t>
            </w:r>
          </w:p>
        </w:tc>
        <w:tc>
          <w:tcPr>
            <w:tcW w:w="8556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556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556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проведении публичного обсуждения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Указание (при наличии) на приложения</w:t>
      </w:r>
    </w:p>
    <w:tbl>
      <w:tblPr>
        <w:tblStyle w:val="a4"/>
        <w:tblW w:w="9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40"/>
        <w:gridCol w:w="2283"/>
        <w:gridCol w:w="2240"/>
      </w:tblGrid>
      <w:tr>
        <w:trPr/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 разработчика проекта нормативного правового акта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С.В. Асташёва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инициалы, фамилия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Исп. ЗагальскаяД.В.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телефон: </w:t>
      </w:r>
      <w:bookmarkStart w:id="1" w:name="P193"/>
      <w:bookmarkEnd w:id="1"/>
      <w:r>
        <w:rPr>
          <w:rFonts w:eastAsia="Calibri" w:cs="Times New Roman" w:ascii="Times New Roman" w:hAnsi="Times New Roman"/>
          <w:sz w:val="20"/>
          <w:szCs w:val="20"/>
        </w:rPr>
        <w:t xml:space="preserve">3-44-37 </w:t>
      </w:r>
      <w:bookmarkStart w:id="2" w:name="_GoBack"/>
      <w:bookmarkEnd w:id="2"/>
      <w:r>
        <w:rPr>
          <w:rFonts w:eastAsia="Calibri" w:cs="Times New Roman" w:ascii="Times New Roman" w:hAnsi="Times New Roman"/>
          <w:sz w:val="20"/>
          <w:szCs w:val="20"/>
        </w:rPr>
        <w:t>(доб. 315),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каб. 11-а</w:t>
      </w:r>
    </w:p>
    <w:sectPr>
      <w:type w:val="nextPage"/>
      <w:pgSz w:w="11906" w:h="16838"/>
      <w:pgMar w:left="1701" w:right="851" w:gutter="0" w:header="0" w:top="680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2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1436f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436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725f6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b2d4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b2d4e"/>
    <w:pPr>
      <w:spacing w:lineRule="auto" w:line="252" w:before="0" w:after="16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725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b2d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Application>LibreOffice/7.6.7.2$Linux_X86_64 LibreOffice_project/60$Build-2</Application>
  <AppVersion>15.0000</AppVersion>
  <Pages>9</Pages>
  <Words>2446</Words>
  <Characters>18985</Characters>
  <CharactersWithSpaces>21234</CharactersWithSpaces>
  <Paragraphs>369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2017-09-15T01:30:00Z</dcterms:created>
  <dc:creator>Дария В. Загальская</dc:creator>
  <dc:description/>
  <dc:language>ru-RU</dc:language>
  <cp:lastModifiedBy/>
  <cp:lastPrinted>2024-06-13T00:16:00Z</cp:lastPrinted>
  <dcterms:modified xsi:type="dcterms:W3CDTF">2025-04-10T16:47:47Z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