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1A" w:rsidRPr="00F817A8" w:rsidRDefault="00FF591A" w:rsidP="00FF591A">
      <w:pPr>
        <w:pStyle w:val="ad"/>
        <w:jc w:val="right"/>
        <w:rPr>
          <w:sz w:val="22"/>
          <w:szCs w:val="28"/>
        </w:rPr>
      </w:pPr>
      <w:r w:rsidRPr="00F817A8">
        <w:rPr>
          <w:sz w:val="22"/>
          <w:szCs w:val="28"/>
        </w:rPr>
        <w:t>Приложение</w:t>
      </w:r>
    </w:p>
    <w:p w:rsidR="00FF591A" w:rsidRDefault="00FF591A" w:rsidP="00750BD8">
      <w:pPr>
        <w:pStyle w:val="ad"/>
        <w:jc w:val="center"/>
        <w:rPr>
          <w:b/>
          <w:sz w:val="28"/>
          <w:szCs w:val="28"/>
        </w:rPr>
      </w:pPr>
    </w:p>
    <w:p w:rsidR="00832F78" w:rsidRPr="003A68DB" w:rsidRDefault="00832F78" w:rsidP="00750BD8">
      <w:pPr>
        <w:pStyle w:val="ad"/>
        <w:jc w:val="center"/>
        <w:rPr>
          <w:b/>
        </w:rPr>
      </w:pPr>
      <w:r w:rsidRPr="003A68DB">
        <w:rPr>
          <w:b/>
        </w:rPr>
        <w:t>Информация</w:t>
      </w:r>
    </w:p>
    <w:p w:rsidR="00832F78" w:rsidRPr="003A68DB" w:rsidRDefault="00832F78" w:rsidP="00750BD8">
      <w:pPr>
        <w:pStyle w:val="ad"/>
        <w:jc w:val="center"/>
        <w:rPr>
          <w:b/>
        </w:rPr>
      </w:pPr>
      <w:r w:rsidRPr="003A68DB">
        <w:rPr>
          <w:b/>
        </w:rPr>
        <w:t>по результатам контрольного мероприятия</w:t>
      </w:r>
    </w:p>
    <w:p w:rsidR="00832F78" w:rsidRPr="003A68DB" w:rsidRDefault="00526F5F" w:rsidP="00750BD8">
      <w:pPr>
        <w:pStyle w:val="ad"/>
        <w:jc w:val="center"/>
        <w:rPr>
          <w:b/>
        </w:rPr>
      </w:pPr>
      <w:bookmarkStart w:id="0" w:name="_Hlk102642019"/>
      <w:bookmarkStart w:id="1" w:name="_Hlk93398421"/>
      <w:r w:rsidRPr="00526F5F">
        <w:rPr>
          <w:b/>
        </w:rPr>
        <w:t>«</w:t>
      </w:r>
      <w:r w:rsidR="00390740" w:rsidRPr="00390740">
        <w:rPr>
          <w:b/>
        </w:rPr>
        <w:t>Проверка целевого и эффективного использования средств местного бюджета Муниципальным казенным предприятием Вилючинского городского округа «</w:t>
      </w:r>
      <w:proofErr w:type="spellStart"/>
      <w:r w:rsidR="00390740" w:rsidRPr="00390740">
        <w:rPr>
          <w:b/>
        </w:rPr>
        <w:t>Вилючинский</w:t>
      </w:r>
      <w:proofErr w:type="spellEnd"/>
      <w:r w:rsidR="00390740" w:rsidRPr="00390740">
        <w:rPr>
          <w:b/>
        </w:rPr>
        <w:t xml:space="preserve"> водоканал», в том числе направленных на финансовое обеспечение затрат, связанных с его созданием</w:t>
      </w:r>
      <w:r w:rsidRPr="00526F5F">
        <w:rPr>
          <w:b/>
        </w:rPr>
        <w:t>»</w:t>
      </w:r>
      <w:bookmarkEnd w:id="0"/>
    </w:p>
    <w:bookmarkEnd w:id="1"/>
    <w:p w:rsidR="00832F78" w:rsidRPr="003A68DB" w:rsidRDefault="00832F78" w:rsidP="00832F78">
      <w:pPr>
        <w:pStyle w:val="a6"/>
        <w:tabs>
          <w:tab w:val="left" w:pos="540"/>
        </w:tabs>
        <w:rPr>
          <w:b/>
          <w:bCs/>
          <w:sz w:val="24"/>
        </w:rPr>
      </w:pPr>
    </w:p>
    <w:p w:rsidR="00832F78" w:rsidRPr="003A68DB" w:rsidRDefault="00832F78" w:rsidP="000D1B53">
      <w:pPr>
        <w:pStyle w:val="ad"/>
        <w:ind w:firstLine="709"/>
        <w:jc w:val="both"/>
      </w:pPr>
      <w:r w:rsidRPr="003A68DB">
        <w:t xml:space="preserve">Контрольное мероприятие проведено в соответствии с планом работы Контрольно-счетной палаты Вилючинского городского округа </w:t>
      </w:r>
      <w:r w:rsidRPr="00120DE2">
        <w:t xml:space="preserve">на </w:t>
      </w:r>
      <w:r w:rsidR="009257FF" w:rsidRPr="00120DE2">
        <w:t>2022</w:t>
      </w:r>
      <w:r w:rsidRPr="00120DE2">
        <w:t xml:space="preserve"> год.</w:t>
      </w:r>
    </w:p>
    <w:p w:rsidR="00D86C20" w:rsidRPr="003A68DB" w:rsidRDefault="00D86C20" w:rsidP="000D1B53">
      <w:pPr>
        <w:pStyle w:val="ad"/>
        <w:ind w:firstLine="709"/>
        <w:jc w:val="both"/>
      </w:pPr>
      <w:r w:rsidRPr="003A68DB">
        <w:t>В ходе проверки рассмотрены вопросы эффективно</w:t>
      </w:r>
      <w:r w:rsidR="0052639C" w:rsidRPr="003A68DB">
        <w:t>го</w:t>
      </w:r>
      <w:r w:rsidR="006A6266" w:rsidRPr="003A68DB">
        <w:t xml:space="preserve"> </w:t>
      </w:r>
      <w:r w:rsidR="00E81A2E" w:rsidRPr="003A68DB">
        <w:t xml:space="preserve">и законного использования </w:t>
      </w:r>
      <w:r w:rsidR="006A6266" w:rsidRPr="003A68DB">
        <w:t>средств бюджета</w:t>
      </w:r>
      <w:r w:rsidR="00E81A2E" w:rsidRPr="003A68DB">
        <w:t xml:space="preserve"> Вилючинского городского округа </w:t>
      </w:r>
      <w:r w:rsidR="00390740">
        <w:t>м</w:t>
      </w:r>
      <w:r w:rsidR="00390740" w:rsidRPr="00390740">
        <w:t>униципальн</w:t>
      </w:r>
      <w:r w:rsidR="00390740">
        <w:t>ым</w:t>
      </w:r>
      <w:r w:rsidR="00390740" w:rsidRPr="00390740">
        <w:t xml:space="preserve"> казенн</w:t>
      </w:r>
      <w:r w:rsidR="00390740">
        <w:t>ым</w:t>
      </w:r>
      <w:r w:rsidR="00390740" w:rsidRPr="00390740">
        <w:t xml:space="preserve"> предприятие</w:t>
      </w:r>
      <w:r w:rsidR="00390740">
        <w:t>м</w:t>
      </w:r>
      <w:r w:rsidR="00390740" w:rsidRPr="00390740">
        <w:t xml:space="preserve"> Вилючинского городского округа «</w:t>
      </w:r>
      <w:proofErr w:type="spellStart"/>
      <w:r w:rsidR="00390740" w:rsidRPr="00390740">
        <w:t>Вилючинский</w:t>
      </w:r>
      <w:proofErr w:type="spellEnd"/>
      <w:r w:rsidR="00390740" w:rsidRPr="00390740">
        <w:t xml:space="preserve"> водоканал</w:t>
      </w:r>
      <w:r w:rsidR="00390740" w:rsidRPr="00073D44">
        <w:t>»</w:t>
      </w:r>
      <w:r w:rsidR="00526F5F" w:rsidRPr="00073D44">
        <w:rPr>
          <w:color w:val="000000"/>
          <w:szCs w:val="28"/>
        </w:rPr>
        <w:t xml:space="preserve"> </w:t>
      </w:r>
      <w:r w:rsidR="009257FF" w:rsidRPr="00073D44">
        <w:rPr>
          <w:color w:val="000000"/>
          <w:szCs w:val="28"/>
        </w:rPr>
        <w:t xml:space="preserve">(далее - </w:t>
      </w:r>
      <w:r w:rsidR="00073D44">
        <w:rPr>
          <w:color w:val="000000"/>
          <w:szCs w:val="28"/>
        </w:rPr>
        <w:t>предприятие</w:t>
      </w:r>
      <w:r w:rsidR="009257FF" w:rsidRPr="00073D44">
        <w:rPr>
          <w:color w:val="000000"/>
          <w:szCs w:val="28"/>
        </w:rPr>
        <w:t xml:space="preserve">) </w:t>
      </w:r>
      <w:r w:rsidR="00094CE0" w:rsidRPr="00073D44">
        <w:t>по всем направлениям деятельности</w:t>
      </w:r>
      <w:r w:rsidR="00750BD8" w:rsidRPr="00073D44">
        <w:t>.</w:t>
      </w:r>
    </w:p>
    <w:p w:rsidR="00020B2B" w:rsidRPr="009D38CF" w:rsidRDefault="00832F78" w:rsidP="000D1B53">
      <w:pPr>
        <w:pStyle w:val="ad"/>
        <w:ind w:firstLine="709"/>
        <w:jc w:val="both"/>
      </w:pPr>
      <w:r w:rsidRPr="009D38CF">
        <w:t xml:space="preserve">Контрольным мероприятием </w:t>
      </w:r>
      <w:r w:rsidR="00E81A2E" w:rsidRPr="009D38CF">
        <w:t>выявлены финансовые и нефинансовые нарушения действующего законодательства, нормативно-правовых актов</w:t>
      </w:r>
      <w:r w:rsidR="009D38CF" w:rsidRPr="009D38CF">
        <w:t>,</w:t>
      </w:r>
      <w:r w:rsidR="007734B2" w:rsidRPr="009D38CF">
        <w:t xml:space="preserve"> </w:t>
      </w:r>
      <w:r w:rsidR="00544845">
        <w:t>в том числе</w:t>
      </w:r>
      <w:r w:rsidR="00E81A2E" w:rsidRPr="009D38CF">
        <w:t>:</w:t>
      </w:r>
      <w:r w:rsidR="00D86C20" w:rsidRPr="009D38CF">
        <w:t xml:space="preserve"> </w:t>
      </w:r>
    </w:p>
    <w:p w:rsidR="00E1764A" w:rsidRDefault="00845FA8" w:rsidP="000D1B53">
      <w:pPr>
        <w:pStyle w:val="ad"/>
        <w:ind w:firstLine="709"/>
        <w:jc w:val="both"/>
      </w:pPr>
      <w:r w:rsidRPr="00073D44">
        <w:t>-</w:t>
      </w:r>
      <w:r w:rsidR="00E81A2E" w:rsidRPr="00073D44">
        <w:t xml:space="preserve"> </w:t>
      </w:r>
      <w:r w:rsidR="00073D44" w:rsidRPr="00073D44">
        <w:t xml:space="preserve">пункт 1 статьи 8 Федерального закона от 14.11.2002 № 161-ФЗ «О государственных и муниципальных унитарных предприятиях» (далее - Федеральный закон № 161-ФЗ) пунктом 1.3 Устава </w:t>
      </w:r>
      <w:r w:rsidR="003635FF">
        <w:t>п</w:t>
      </w:r>
      <w:r w:rsidR="00073D44" w:rsidRPr="00073D44">
        <w:t xml:space="preserve">редприятия установлено, что </w:t>
      </w:r>
      <w:proofErr w:type="spellStart"/>
      <w:r w:rsidR="00073D44" w:rsidRPr="00073D44">
        <w:t>Вилючинский</w:t>
      </w:r>
      <w:proofErr w:type="spellEnd"/>
      <w:r w:rsidR="00073D44" w:rsidRPr="00073D44">
        <w:t xml:space="preserve"> городской округ закрытого административно-территориального образования города Вилючинска Камчатского края в лице администрации Вилючинского городского округа закрытого административно-территориального образования города Вилючинска Камчатского края (далее – учредитель) делегирует отдельные полномочия Отделу по управлению городским хозяйством администрации Вилючинского городского округа. Отделу по управлению муниципальным имуществом права и функции учредителя, кроме функций создания, реорганизации, ликвидации и наделения имуществом. При этом, в выписке из единого государственного реестра юридических лиц в сведениях об учредителях юридического лица указано: Камчатский край Администрация Вилючинского городского округа закрытого административно-территориального образования города Вилючинска Камчатского края</w:t>
      </w:r>
      <w:r w:rsidRPr="00073D44">
        <w:t>;</w:t>
      </w:r>
    </w:p>
    <w:p w:rsidR="00C52536" w:rsidRDefault="00C52536" w:rsidP="00C52536">
      <w:pPr>
        <w:pStyle w:val="ad"/>
        <w:ind w:firstLine="709"/>
        <w:jc w:val="both"/>
      </w:pPr>
      <w:r>
        <w:t>- в нарушение пункта 3-6 статьи 9 Федерального закона</w:t>
      </w:r>
      <w:r w:rsidRPr="00C52536">
        <w:t xml:space="preserve"> № 161-ФЗ</w:t>
      </w:r>
      <w:r>
        <w:t xml:space="preserve"> не установлен порядок формирования и использования «Резервного фонда», распределения и использования доходов, рас</w:t>
      </w:r>
      <w:r w:rsidR="00073D44">
        <w:t xml:space="preserve">пределения прибыли </w:t>
      </w:r>
      <w:r w:rsidR="00073D44" w:rsidRPr="00073D44">
        <w:t>МКП ВГО «</w:t>
      </w:r>
      <w:proofErr w:type="spellStart"/>
      <w:r w:rsidR="00073D44" w:rsidRPr="00073D44">
        <w:t>Вилючинский</w:t>
      </w:r>
      <w:proofErr w:type="spellEnd"/>
      <w:r w:rsidR="00073D44" w:rsidRPr="00073D44">
        <w:t xml:space="preserve"> водоканал»</w:t>
      </w:r>
      <w:r>
        <w:t>;</w:t>
      </w:r>
    </w:p>
    <w:p w:rsidR="00C52536" w:rsidRDefault="00C52536" w:rsidP="00C52536">
      <w:pPr>
        <w:pStyle w:val="ad"/>
        <w:ind w:firstLine="709"/>
        <w:jc w:val="both"/>
      </w:pPr>
      <w:r>
        <w:t xml:space="preserve">- в нарушение пункта 3 статьи 21 Федерального закона № 161-ФЗ не установлен порядок отчетности руководителя о деятельности </w:t>
      </w:r>
      <w:r w:rsidR="00073D44" w:rsidRPr="00073D44">
        <w:t>МКП ВГО «</w:t>
      </w:r>
      <w:proofErr w:type="spellStart"/>
      <w:r w:rsidR="00073D44" w:rsidRPr="00073D44">
        <w:t>Вилючинский</w:t>
      </w:r>
      <w:proofErr w:type="spellEnd"/>
      <w:r w:rsidR="00073D44" w:rsidRPr="00073D44">
        <w:t xml:space="preserve"> водоканал»</w:t>
      </w:r>
      <w:r>
        <w:t>;</w:t>
      </w:r>
    </w:p>
    <w:p w:rsidR="00C52536" w:rsidRDefault="00C52536" w:rsidP="00C52536">
      <w:pPr>
        <w:pStyle w:val="ad"/>
        <w:ind w:firstLine="709"/>
        <w:jc w:val="both"/>
      </w:pPr>
      <w:r>
        <w:t>-</w:t>
      </w:r>
      <w:r w:rsidRPr="00C52536">
        <w:t xml:space="preserve"> </w:t>
      </w:r>
      <w:r>
        <w:t>в</w:t>
      </w:r>
      <w:r w:rsidRPr="00C52536">
        <w:t xml:space="preserve"> нарушение пункта 2 статьи 21 Федерального закона № 161-ФЗ, пункта 5.7. </w:t>
      </w:r>
      <w:r>
        <w:t xml:space="preserve">Устава </w:t>
      </w:r>
      <w:r w:rsidR="003635FF">
        <w:t>предприятия</w:t>
      </w:r>
      <w:r>
        <w:t xml:space="preserve"> в отношении д</w:t>
      </w:r>
      <w:r w:rsidRPr="00C52536">
        <w:t xml:space="preserve">иректора </w:t>
      </w:r>
      <w:r>
        <w:t xml:space="preserve">обязательная </w:t>
      </w:r>
      <w:r w:rsidRPr="00C52536">
        <w:t>аттестация не проводилась</w:t>
      </w:r>
      <w:r>
        <w:t>;</w:t>
      </w:r>
    </w:p>
    <w:p w:rsidR="00C52536" w:rsidRDefault="00C52536" w:rsidP="00C52536">
      <w:pPr>
        <w:pStyle w:val="ad"/>
        <w:ind w:firstLine="709"/>
        <w:jc w:val="both"/>
      </w:pPr>
      <w:r>
        <w:t xml:space="preserve"> - в</w:t>
      </w:r>
      <w:r w:rsidRPr="00C52536">
        <w:t xml:space="preserve"> нарушение пункта 3 статьи 21 Федерального закона № 161-ФЗ, пункта 5.8. Устава </w:t>
      </w:r>
      <w:r w:rsidR="003635FF">
        <w:t>предприятия</w:t>
      </w:r>
      <w:r w:rsidRPr="00C52536">
        <w:t xml:space="preserve"> за период 2019-2021 </w:t>
      </w:r>
      <w:r w:rsidR="0036134E">
        <w:t>отсутствуют отчеты</w:t>
      </w:r>
      <w:r w:rsidRPr="00C52536">
        <w:t xml:space="preserve"> о деятельности </w:t>
      </w:r>
      <w:r w:rsidR="00073D44">
        <w:t>предприятия</w:t>
      </w:r>
      <w:r>
        <w:t>;</w:t>
      </w:r>
    </w:p>
    <w:p w:rsidR="0036134E" w:rsidRDefault="0036134E" w:rsidP="00C52536">
      <w:pPr>
        <w:pStyle w:val="ad"/>
        <w:ind w:firstLine="709"/>
        <w:jc w:val="both"/>
      </w:pPr>
      <w:r>
        <w:t>- в</w:t>
      </w:r>
      <w:r w:rsidRPr="0036134E">
        <w:t xml:space="preserve"> нарушение пункта 8 статьи 20 Федерального закона № 161-ФЗ, пункта 5.10. Устава </w:t>
      </w:r>
      <w:r w:rsidR="003635FF">
        <w:t>предприятия</w:t>
      </w:r>
      <w:r w:rsidRPr="0036134E">
        <w:t xml:space="preserve"> </w:t>
      </w:r>
      <w:r w:rsidR="00AE45AB">
        <w:t>отсутствует согласование о</w:t>
      </w:r>
      <w:r w:rsidRPr="0036134E">
        <w:t xml:space="preserve"> прием</w:t>
      </w:r>
      <w:r w:rsidR="00AE45AB">
        <w:t>е</w:t>
      </w:r>
      <w:r w:rsidRPr="0036134E">
        <w:t xml:space="preserve"> на работу главного бухгалтера</w:t>
      </w:r>
      <w:r w:rsidR="00AE45AB">
        <w:t xml:space="preserve"> и</w:t>
      </w:r>
      <w:r w:rsidR="00073D44">
        <w:t xml:space="preserve"> заключение трудового договора</w:t>
      </w:r>
      <w:r w:rsidR="00AE45AB" w:rsidRPr="00AE45AB">
        <w:t>;</w:t>
      </w:r>
      <w:r w:rsidR="00073D44">
        <w:t xml:space="preserve"> </w:t>
      </w:r>
    </w:p>
    <w:p w:rsidR="00AE45AB" w:rsidRDefault="00AE45AB" w:rsidP="00AE45AB">
      <w:pPr>
        <w:pStyle w:val="ad"/>
        <w:ind w:firstLine="709"/>
        <w:jc w:val="both"/>
      </w:pPr>
      <w:r>
        <w:t xml:space="preserve">- в нарушение статьи 20 Федерального закона № 161-ФЗ, пункта 5.11. Устава </w:t>
      </w:r>
      <w:r w:rsidR="003635FF">
        <w:t>предприятием</w:t>
      </w:r>
      <w:r>
        <w:t xml:space="preserve"> учредителем не определен порядок составления, утверждения и установления показателей планов (программы) финансово – хозяйственной деятельности </w:t>
      </w:r>
      <w:r w:rsidR="003635FF">
        <w:t>предприятия</w:t>
      </w:r>
      <w:r>
        <w:t xml:space="preserve">, не утверждены показатели экономической эффективности деятельности </w:t>
      </w:r>
      <w:r w:rsidR="003635FF">
        <w:t>предприятия</w:t>
      </w:r>
      <w:r>
        <w:t xml:space="preserve">, контроль их выполнения не производился, не утверждена годовая бухгалтерская отчетность 2019 – 2021 годы, не принимались решения о </w:t>
      </w:r>
      <w:r w:rsidR="00073D44">
        <w:t>проведении аудиторских проверок</w:t>
      </w:r>
      <w:r>
        <w:t>;</w:t>
      </w:r>
    </w:p>
    <w:p w:rsidR="005B1E7D" w:rsidRDefault="005B1E7D" w:rsidP="005B1E7D">
      <w:pPr>
        <w:pStyle w:val="ad"/>
        <w:ind w:firstLine="709"/>
        <w:jc w:val="both"/>
      </w:pPr>
      <w:r w:rsidRPr="005B1E7D">
        <w:t xml:space="preserve">- </w:t>
      </w:r>
      <w:r>
        <w:t>в</w:t>
      </w:r>
      <w:r w:rsidRPr="005B1E7D">
        <w:t xml:space="preserve"> нарушение Порядка (Правил) «Правила предоставления из бюджета ВГО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осуществляющим регулируемые виды деятельности в сфере теплоснабжения, водоснабжения и водоотведении на финансовое обеспечение (возмещение) затрат в связи с выполнением работ по ремонту, замене ветхих, аварийных сетей, оборудования, задействованных в выработке и передаче тепловой энергии, </w:t>
      </w:r>
      <w:r w:rsidRPr="005B1E7D">
        <w:lastRenderedPageBreak/>
        <w:t>водоснабжении и водоотведении на территории ВГО» от 01.06.2017 № 493 в Соглашении № 4 от 08.06.2020 не определены цели на к</w:t>
      </w:r>
      <w:r>
        <w:t>оторые предоставляется субсидия;</w:t>
      </w:r>
    </w:p>
    <w:p w:rsidR="005B1E7D" w:rsidRDefault="005B1E7D" w:rsidP="005B1E7D">
      <w:pPr>
        <w:pStyle w:val="ad"/>
        <w:ind w:firstLine="709"/>
        <w:jc w:val="both"/>
      </w:pPr>
      <w:r>
        <w:t>- в</w:t>
      </w:r>
      <w:r w:rsidRPr="005B1E7D">
        <w:t xml:space="preserve"> нарушение пункта 6.2. 6.3. Порядка «Порядок предоставления из бюджета ВГО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– осуществляющим регулируемые виды деятельности в сфере жилищно-коммунального хозяйства на финансовое обеспечение затрат на приобретение оборудования (в том числе источников бесперебойного питания) и специальной техники, задействованной в структуре жилищно-коммунального хозяйства на территории ВГО» от 18.11.2020 № 1015 в Соглашении № 1 от 15.03.2021 отсутствуют сроки перечисления субсидии, счета, на которые перечисляется субсидия</w:t>
      </w:r>
      <w:r>
        <w:t>;</w:t>
      </w:r>
    </w:p>
    <w:p w:rsidR="00E43579" w:rsidRPr="009451A8" w:rsidRDefault="005B1E7D" w:rsidP="005B1E7D">
      <w:pPr>
        <w:pStyle w:val="ad"/>
        <w:ind w:firstLine="709"/>
        <w:jc w:val="both"/>
      </w:pPr>
      <w:r w:rsidRPr="009451A8">
        <w:t xml:space="preserve">- </w:t>
      </w:r>
      <w:r w:rsidR="009451A8" w:rsidRPr="009451A8">
        <w:t xml:space="preserve">сумма не израсходованных </w:t>
      </w:r>
      <w:r w:rsidRPr="009451A8">
        <w:t>средств субсидий и подлежащих возврату в бюджет Вилючинского городского округа составила 1 482 317,84 рублей</w:t>
      </w:r>
      <w:r w:rsidR="00E43579" w:rsidRPr="009451A8">
        <w:t>;</w:t>
      </w:r>
    </w:p>
    <w:p w:rsidR="00FF7BEB" w:rsidRPr="00E43579" w:rsidRDefault="00E43579" w:rsidP="005B1E7D">
      <w:pPr>
        <w:pStyle w:val="ad"/>
        <w:ind w:firstLine="709"/>
        <w:jc w:val="both"/>
      </w:pPr>
      <w:r w:rsidRPr="00E43579">
        <w:t>-</w:t>
      </w:r>
      <w:r w:rsidR="00FF7BEB" w:rsidRPr="00E43579">
        <w:t xml:space="preserve"> </w:t>
      </w:r>
      <w:r>
        <w:t>в</w:t>
      </w:r>
      <w:r w:rsidRPr="00E43579">
        <w:t xml:space="preserve"> нарушение раздела 4 утвержденных Порядков «Требования об осуществлении контроля за соблюдением условий, целей и порядка предоставления субсидии и ответственности за их нарушение», Отделом или Органом муниципального финансового контроля</w:t>
      </w:r>
      <w:r>
        <w:t>)</w:t>
      </w:r>
      <w:r w:rsidRPr="00E43579">
        <w:t xml:space="preserve"> </w:t>
      </w:r>
      <w:r>
        <w:t>т</w:t>
      </w:r>
      <w:r w:rsidRPr="00E43579">
        <w:t>ребования о возврате средств субсидий в бюджет Вилючинского городского округа к Получателю субсидии не направлялись;</w:t>
      </w:r>
    </w:p>
    <w:p w:rsidR="00083D0A" w:rsidRDefault="00E43579" w:rsidP="00E43579">
      <w:pPr>
        <w:pStyle w:val="ad"/>
        <w:ind w:firstLine="709"/>
        <w:jc w:val="both"/>
      </w:pPr>
      <w:r>
        <w:t>- в нарушение утвержденных Порядков, отсутствуют отчеты о расходах субсидии, отчеты о достижении показателей результативности получателя субсидий и прочая отчетность установленные приложениями к Порядкам и Соглашению;</w:t>
      </w:r>
    </w:p>
    <w:p w:rsidR="00F31CC7" w:rsidRDefault="00190592" w:rsidP="00E43579">
      <w:pPr>
        <w:pStyle w:val="ad"/>
        <w:ind w:firstLine="709"/>
        <w:jc w:val="both"/>
      </w:pPr>
      <w:r w:rsidRPr="00F31CC7">
        <w:t xml:space="preserve">- </w:t>
      </w:r>
      <w:r w:rsidR="00F31CC7" w:rsidRPr="00F31CC7">
        <w:t>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F31CC7">
        <w:t>:</w:t>
      </w:r>
    </w:p>
    <w:p w:rsidR="00E43579" w:rsidRPr="00F31CC7" w:rsidRDefault="00F31CC7" w:rsidP="003635FF">
      <w:pPr>
        <w:pStyle w:val="ad"/>
        <w:ind w:firstLine="709"/>
        <w:jc w:val="both"/>
      </w:pPr>
      <w:r w:rsidRPr="00F31CC7">
        <w:t xml:space="preserve">- </w:t>
      </w:r>
      <w:r w:rsidR="00E43579" w:rsidRPr="00F31CC7">
        <w:t>в план график на 2021 не внесены закупки</w:t>
      </w:r>
      <w:r w:rsidR="00190592" w:rsidRPr="00F31CC7">
        <w:t xml:space="preserve"> на общую сумму 10 161 450,72;</w:t>
      </w:r>
    </w:p>
    <w:p w:rsidR="00E43579" w:rsidRPr="00F31CC7" w:rsidRDefault="00190592" w:rsidP="003635FF">
      <w:pPr>
        <w:pStyle w:val="ad"/>
        <w:ind w:firstLine="709"/>
        <w:jc w:val="both"/>
      </w:pPr>
      <w:r w:rsidRPr="00F31CC7">
        <w:t xml:space="preserve">- </w:t>
      </w:r>
      <w:r w:rsidR="00E43579" w:rsidRPr="00F31CC7">
        <w:t>не размещена в системе ЕИС информация об исполнени</w:t>
      </w:r>
      <w:r w:rsidRPr="00F31CC7">
        <w:t>и договоров, контрактов за 2021</w:t>
      </w:r>
      <w:r w:rsidR="00F31CC7">
        <w:t>;</w:t>
      </w:r>
      <w:r w:rsidRPr="00F31CC7">
        <w:t xml:space="preserve"> </w:t>
      </w:r>
    </w:p>
    <w:p w:rsidR="00E43579" w:rsidRPr="00F31CC7" w:rsidRDefault="00144E59" w:rsidP="00144E59">
      <w:pPr>
        <w:pStyle w:val="ad"/>
        <w:ind w:firstLine="709"/>
        <w:jc w:val="both"/>
      </w:pPr>
      <w:r w:rsidRPr="00F31CC7">
        <w:t>- в</w:t>
      </w:r>
      <w:r w:rsidR="00E43579" w:rsidRPr="00F31CC7">
        <w:t xml:space="preserve"> нарушение части 2 статьи 15 ТК РФ на </w:t>
      </w:r>
      <w:r w:rsidRPr="00F31CC7">
        <w:t>п</w:t>
      </w:r>
      <w:r w:rsidR="00E43579" w:rsidRPr="00F31CC7">
        <w:t xml:space="preserve">редприятии заключены договоры </w:t>
      </w:r>
      <w:r w:rsidRPr="00F31CC7">
        <w:t xml:space="preserve">гражданско-правового характера </w:t>
      </w:r>
      <w:r w:rsidR="00E43579" w:rsidRPr="00F31CC7">
        <w:t>со штатными сотрудниками</w:t>
      </w:r>
      <w:r w:rsidR="00F31CC7" w:rsidRPr="00F31CC7">
        <w:t xml:space="preserve"> на сумму </w:t>
      </w:r>
      <w:r w:rsidR="00F31CC7" w:rsidRPr="00F31CC7">
        <w:t>953 047,76 рублей</w:t>
      </w:r>
      <w:r w:rsidR="00E43579" w:rsidRPr="00F31CC7">
        <w:t>, при этом их обязанности совпадают с трудовой функцией по трудовому договору</w:t>
      </w:r>
      <w:r w:rsidRPr="00F31CC7">
        <w:t xml:space="preserve">, что </w:t>
      </w:r>
      <w:r w:rsidR="00F31CC7" w:rsidRPr="00F31CC7">
        <w:t xml:space="preserve">в свою очередь </w:t>
      </w:r>
      <w:r w:rsidRPr="00F31CC7">
        <w:t>повлекло</w:t>
      </w:r>
      <w:r w:rsidR="00E43579" w:rsidRPr="00F31CC7">
        <w:t xml:space="preserve"> неправомерно</w:t>
      </w:r>
      <w:r w:rsidRPr="00F31CC7">
        <w:t>е</w:t>
      </w:r>
      <w:r w:rsidR="00E43579" w:rsidRPr="00F31CC7">
        <w:t xml:space="preserve"> уменьшен</w:t>
      </w:r>
      <w:r w:rsidRPr="00F31CC7">
        <w:t>ие</w:t>
      </w:r>
      <w:r w:rsidR="00E43579" w:rsidRPr="00F31CC7">
        <w:t xml:space="preserve"> налог</w:t>
      </w:r>
      <w:r w:rsidRPr="00F31CC7">
        <w:t>а</w:t>
      </w:r>
      <w:r w:rsidR="00F31CC7" w:rsidRPr="00F31CC7">
        <w:t xml:space="preserve"> на прибыль, недополучение</w:t>
      </w:r>
      <w:r w:rsidR="00E43579" w:rsidRPr="00F31CC7">
        <w:t xml:space="preserve"> дохода, не эффективное ис</w:t>
      </w:r>
      <w:r w:rsidR="00F31CC7" w:rsidRPr="00F31CC7">
        <w:t>пользование средств предприятия;</w:t>
      </w:r>
    </w:p>
    <w:p w:rsidR="009D5700" w:rsidRPr="009D5700" w:rsidRDefault="009D5700" w:rsidP="00E43579">
      <w:pPr>
        <w:pStyle w:val="ad"/>
        <w:ind w:firstLine="709"/>
        <w:jc w:val="both"/>
      </w:pPr>
      <w:r w:rsidRPr="00F31CC7">
        <w:t>- в</w:t>
      </w:r>
      <w:r w:rsidR="00E43579" w:rsidRPr="00F31CC7">
        <w:t xml:space="preserve"> нарушение Закона РФ № 402-ФЗ</w:t>
      </w:r>
      <w:r w:rsidR="00E43579" w:rsidRPr="009D5700">
        <w:t>, Приказа Минфина РФ № 34н, Учетной политики предприятия, на недвижимое имущество, закрепленное на праве оперативного управления не оформлена Государственн</w:t>
      </w:r>
      <w:r w:rsidRPr="009D5700">
        <w:t xml:space="preserve">ая регистрация в полном объеме </w:t>
      </w:r>
      <w:r w:rsidR="00E1004D" w:rsidRPr="00E1004D">
        <w:t>на общую сумму - 28 189 179,90 рублей</w:t>
      </w:r>
      <w:r w:rsidRPr="009D5700">
        <w:t xml:space="preserve">; </w:t>
      </w:r>
    </w:p>
    <w:p w:rsidR="00E43579" w:rsidRPr="009D5700" w:rsidRDefault="009D5700" w:rsidP="00E43579">
      <w:pPr>
        <w:pStyle w:val="ad"/>
        <w:ind w:firstLine="709"/>
        <w:jc w:val="both"/>
      </w:pPr>
      <w:r>
        <w:rPr>
          <w:i/>
        </w:rPr>
        <w:t xml:space="preserve">- </w:t>
      </w:r>
      <w:r w:rsidRPr="009D5700">
        <w:t xml:space="preserve">земельные участки, </w:t>
      </w:r>
      <w:r w:rsidR="00E43579" w:rsidRPr="009D5700">
        <w:t>передан</w:t>
      </w:r>
      <w:r>
        <w:t>н</w:t>
      </w:r>
      <w:r w:rsidR="00E43579" w:rsidRPr="009D5700">
        <w:t>ы</w:t>
      </w:r>
      <w:r>
        <w:t>е</w:t>
      </w:r>
      <w:r w:rsidR="00E43579" w:rsidRPr="009D5700">
        <w:t xml:space="preserve"> в постоянное (бессрочное) пользование, не приняты к бухгалтерскому учету. Сумма активов, не принятых к бухгалтерскому учету составила – 52 014 758,81 рублей</w:t>
      </w:r>
      <w:r w:rsidR="00E1004D">
        <w:t xml:space="preserve">. В ходе проведения контрольного мероприятия предприятием устранены </w:t>
      </w:r>
      <w:proofErr w:type="gramStart"/>
      <w:r w:rsidR="00E1004D">
        <w:t>замечания  -</w:t>
      </w:r>
      <w:proofErr w:type="gramEnd"/>
      <w:r w:rsidR="00E1004D">
        <w:t xml:space="preserve"> </w:t>
      </w:r>
      <w:r w:rsidR="00E1004D" w:rsidRPr="00E1004D">
        <w:t>принят</w:t>
      </w:r>
      <w:r w:rsidR="00E1004D">
        <w:t>ы к бухгалтерскому учету земельные</w:t>
      </w:r>
      <w:r w:rsidR="00E1004D" w:rsidRPr="00E1004D">
        <w:t xml:space="preserve"> участк</w:t>
      </w:r>
      <w:r w:rsidR="00E1004D">
        <w:t>и  на общую сумму 44 441 087,33 рублей;</w:t>
      </w:r>
    </w:p>
    <w:p w:rsidR="00D24DFC" w:rsidRDefault="00D24DFC" w:rsidP="00E43579">
      <w:pPr>
        <w:pStyle w:val="ad"/>
        <w:ind w:firstLine="709"/>
        <w:jc w:val="both"/>
      </w:pPr>
      <w:r>
        <w:t xml:space="preserve">Контрольным мероприятием </w:t>
      </w:r>
      <w:r w:rsidR="00EB42C3">
        <w:t>выявлены</w:t>
      </w:r>
      <w:r>
        <w:t xml:space="preserve"> многочисленные </w:t>
      </w:r>
      <w:r w:rsidR="00626A3A">
        <w:t xml:space="preserve">недостатки и </w:t>
      </w:r>
      <w:r>
        <w:t>нарушения,</w:t>
      </w:r>
      <w:r w:rsidRPr="00D24DFC">
        <w:t xml:space="preserve"> неэффективное использование бюджетных средств</w:t>
      </w:r>
      <w:r w:rsidR="00626A3A">
        <w:t>. В том числе:</w:t>
      </w:r>
    </w:p>
    <w:p w:rsidR="00D24DFC" w:rsidRDefault="00D24DFC" w:rsidP="00E43579">
      <w:pPr>
        <w:pStyle w:val="ad"/>
        <w:ind w:firstLine="709"/>
        <w:jc w:val="both"/>
      </w:pPr>
      <w:r>
        <w:t xml:space="preserve">- </w:t>
      </w:r>
      <w:r w:rsidRPr="00D24DFC">
        <w:t>искажение (несоответствие) данных регистров бухгалтерского учета с данными годовой бухгалтерской отчетности</w:t>
      </w:r>
      <w:r>
        <w:t>;</w:t>
      </w:r>
    </w:p>
    <w:p w:rsidR="00A45A1A" w:rsidRDefault="00A45A1A" w:rsidP="00E43579">
      <w:pPr>
        <w:pStyle w:val="ad"/>
        <w:ind w:firstLine="709"/>
        <w:jc w:val="both"/>
      </w:pPr>
      <w:r>
        <w:t xml:space="preserve">- </w:t>
      </w:r>
      <w:r w:rsidRPr="00A45A1A">
        <w:t>отсутств</w:t>
      </w:r>
      <w:r>
        <w:t>ие</w:t>
      </w:r>
      <w:r w:rsidRPr="00A45A1A">
        <w:t xml:space="preserve"> приказ</w:t>
      </w:r>
      <w:r>
        <w:t>ов</w:t>
      </w:r>
      <w:r w:rsidRPr="00A45A1A">
        <w:t xml:space="preserve"> о проведении инвентаризации, о создании постоянно действующей, либо рабочей комиссии с утверждением состава для проведения инвентаризации дебиторской и кредиторской задолженности перед составлением годовой бухгалтерской отчетности</w:t>
      </w:r>
      <w:r>
        <w:t>;</w:t>
      </w:r>
    </w:p>
    <w:p w:rsidR="00A45A1A" w:rsidRDefault="00A45A1A" w:rsidP="00E43579">
      <w:pPr>
        <w:pStyle w:val="ad"/>
        <w:ind w:firstLine="709"/>
        <w:jc w:val="both"/>
      </w:pPr>
      <w:r>
        <w:t>-</w:t>
      </w:r>
      <w:r w:rsidRPr="00A45A1A">
        <w:t xml:space="preserve"> данные годовой бухгалтерской отчетности в отношении отражения Дебиторской и Кредиторской задолженности имеют различные показатели, что не может быть </w:t>
      </w:r>
      <w:r w:rsidR="00626A3A">
        <w:t xml:space="preserve">признано </w:t>
      </w:r>
      <w:r w:rsidRPr="00A45A1A">
        <w:t>достоверной информацией</w:t>
      </w:r>
      <w:r>
        <w:t>;</w:t>
      </w:r>
    </w:p>
    <w:p w:rsidR="00D24DFC" w:rsidRDefault="00D24DFC" w:rsidP="00E43579">
      <w:pPr>
        <w:pStyle w:val="ad"/>
        <w:ind w:firstLine="709"/>
        <w:jc w:val="both"/>
      </w:pPr>
      <w:r>
        <w:t xml:space="preserve">- отсутствие </w:t>
      </w:r>
      <w:r w:rsidRPr="00D24DFC">
        <w:t>регистр</w:t>
      </w:r>
      <w:r>
        <w:t>ов</w:t>
      </w:r>
      <w:r w:rsidRPr="00D24DFC">
        <w:t xml:space="preserve"> бухгалтерского учета</w:t>
      </w:r>
      <w:r>
        <w:t>;</w:t>
      </w:r>
    </w:p>
    <w:p w:rsidR="00A45A1A" w:rsidRDefault="00A45A1A" w:rsidP="00E43579">
      <w:pPr>
        <w:pStyle w:val="ad"/>
        <w:ind w:firstLine="709"/>
        <w:jc w:val="both"/>
      </w:pPr>
      <w:r>
        <w:t>-</w:t>
      </w:r>
      <w:r w:rsidRPr="00A45A1A">
        <w:t xml:space="preserve"> некорректное заполнение первичного документа - авансового отчета</w:t>
      </w:r>
      <w:r>
        <w:t>;</w:t>
      </w:r>
    </w:p>
    <w:p w:rsidR="00540F49" w:rsidRDefault="00A45A1A" w:rsidP="00540F49">
      <w:pPr>
        <w:pStyle w:val="ad"/>
        <w:ind w:firstLine="709"/>
        <w:jc w:val="both"/>
      </w:pPr>
      <w:r>
        <w:t xml:space="preserve">- нарушения </w:t>
      </w:r>
      <w:r w:rsidR="00540F49">
        <w:t xml:space="preserve">ведения </w:t>
      </w:r>
      <w:r>
        <w:t>кассовой дисциплины;</w:t>
      </w:r>
      <w:r w:rsidR="00540F49" w:rsidRPr="00540F49">
        <w:t xml:space="preserve"> </w:t>
      </w:r>
    </w:p>
    <w:p w:rsidR="00540F49" w:rsidRDefault="00540F49" w:rsidP="00540F49">
      <w:pPr>
        <w:pStyle w:val="ad"/>
        <w:ind w:firstLine="709"/>
        <w:jc w:val="both"/>
      </w:pPr>
      <w:r>
        <w:t>- формы первичных документов не утверждены, либо утверждены с нарушениями;</w:t>
      </w:r>
    </w:p>
    <w:p w:rsidR="00540F49" w:rsidRDefault="00540F49" w:rsidP="00540F49">
      <w:pPr>
        <w:pStyle w:val="ad"/>
        <w:ind w:firstLine="709"/>
        <w:jc w:val="both"/>
      </w:pPr>
      <w:r>
        <w:t>-</w:t>
      </w:r>
      <w:r w:rsidRPr="00540F49">
        <w:t xml:space="preserve"> </w:t>
      </w:r>
      <w:r>
        <w:t>в действующем Положение о системе оплаты труда работников МКП ВГО «</w:t>
      </w:r>
      <w:proofErr w:type="spellStart"/>
      <w:r>
        <w:t>Вилючинский</w:t>
      </w:r>
      <w:proofErr w:type="spellEnd"/>
      <w:r>
        <w:t xml:space="preserve"> водоканал» выявлены нарушения и недостатки в части установления размеров тарифных ставок, </w:t>
      </w:r>
      <w:r>
        <w:lastRenderedPageBreak/>
        <w:t xml:space="preserve">окладов должностных окладов), отсутствует порядок формирования фонда оплаты труда, формирования и распределения премиального фонда, не определён состав «Фонда оплаты труда»; </w:t>
      </w:r>
    </w:p>
    <w:p w:rsidR="00540F49" w:rsidRDefault="00540F49" w:rsidP="00540F49">
      <w:pPr>
        <w:pStyle w:val="ad"/>
        <w:ind w:firstLine="709"/>
        <w:jc w:val="both"/>
      </w:pPr>
      <w:r>
        <w:t>- не установлены порядок и условия выплаты компенсационного характера</w:t>
      </w:r>
      <w:r w:rsidR="00F31CC7" w:rsidRPr="00F31CC7">
        <w:t xml:space="preserve"> </w:t>
      </w:r>
      <w:r w:rsidR="00F31CC7">
        <w:t>«В</w:t>
      </w:r>
      <w:r w:rsidR="00F31CC7" w:rsidRPr="00F31CC7">
        <w:t>ыплаты при использовании личного имущества</w:t>
      </w:r>
      <w:r w:rsidR="00F31CC7">
        <w:t>»</w:t>
      </w:r>
      <w:r>
        <w:t>;</w:t>
      </w:r>
    </w:p>
    <w:p w:rsidR="00540F49" w:rsidRDefault="00540F49" w:rsidP="00540F49">
      <w:pPr>
        <w:pStyle w:val="ad"/>
        <w:ind w:firstLine="709"/>
        <w:jc w:val="both"/>
      </w:pPr>
      <w:r>
        <w:t>-</w:t>
      </w:r>
      <w:r w:rsidRPr="00540F49">
        <w:t xml:space="preserve"> в нарушение статьи 133 ТК РФ в штатном расписании показатель «ИТОГО» установлен ниже минимального размера оплаты труда;</w:t>
      </w:r>
    </w:p>
    <w:p w:rsidR="00D24DFC" w:rsidRDefault="00D24DFC" w:rsidP="00E43579">
      <w:pPr>
        <w:pStyle w:val="ad"/>
        <w:ind w:firstLine="709"/>
        <w:jc w:val="both"/>
      </w:pPr>
      <w:r>
        <w:t xml:space="preserve">- </w:t>
      </w:r>
      <w:r w:rsidRPr="00D24DFC">
        <w:t>не обоснованн</w:t>
      </w:r>
      <w:r>
        <w:t>ые</w:t>
      </w:r>
      <w:r w:rsidRPr="00D24DFC">
        <w:t xml:space="preserve"> компенсационн</w:t>
      </w:r>
      <w:r>
        <w:t>ые</w:t>
      </w:r>
      <w:r w:rsidRPr="00D24DFC">
        <w:t xml:space="preserve"> выплат</w:t>
      </w:r>
      <w:r>
        <w:t xml:space="preserve">ы </w:t>
      </w:r>
      <w:r w:rsidRPr="00D24DFC">
        <w:t>при использов</w:t>
      </w:r>
      <w:r w:rsidR="00A45A1A">
        <w:t>ании личного имущества работников</w:t>
      </w:r>
      <w:r w:rsidRPr="00D24DFC">
        <w:t xml:space="preserve"> </w:t>
      </w:r>
      <w:r w:rsidR="00A45A1A">
        <w:t>на сумму</w:t>
      </w:r>
      <w:r w:rsidRPr="00D24DFC">
        <w:t xml:space="preserve"> 2 267, 961 тыс. рублей</w:t>
      </w:r>
      <w:r w:rsidR="00A45A1A">
        <w:t>;</w:t>
      </w:r>
    </w:p>
    <w:p w:rsidR="00A45A1A" w:rsidRDefault="00A45A1A" w:rsidP="00E43579">
      <w:pPr>
        <w:pStyle w:val="ad"/>
        <w:ind w:firstLine="709"/>
        <w:jc w:val="both"/>
      </w:pPr>
      <w:r>
        <w:t>- единовременные денежные премии в размере 52,380 тыс. рублей;</w:t>
      </w:r>
    </w:p>
    <w:p w:rsidR="00A45A1A" w:rsidRPr="009D5700" w:rsidRDefault="00A45A1A" w:rsidP="00540F49">
      <w:pPr>
        <w:pStyle w:val="ad"/>
        <w:ind w:firstLine="709"/>
        <w:jc w:val="both"/>
      </w:pPr>
      <w:r>
        <w:t>- стимулирующие выплаты руководителю предприятия на</w:t>
      </w:r>
      <w:r w:rsidR="00540F49">
        <w:t xml:space="preserve"> общую сумму 386,101 </w:t>
      </w:r>
      <w:proofErr w:type="spellStart"/>
      <w:proofErr w:type="gramStart"/>
      <w:r w:rsidR="00540F49">
        <w:t>тыс.рублей</w:t>
      </w:r>
      <w:proofErr w:type="spellEnd"/>
      <w:proofErr w:type="gramEnd"/>
      <w:r w:rsidR="00540F49">
        <w:t>.</w:t>
      </w:r>
    </w:p>
    <w:p w:rsidR="00E43579" w:rsidRPr="00E1004D" w:rsidRDefault="00E43579" w:rsidP="00E43579">
      <w:pPr>
        <w:pStyle w:val="ad"/>
        <w:ind w:firstLine="709"/>
        <w:jc w:val="both"/>
      </w:pPr>
      <w:r w:rsidRPr="00E1004D">
        <w:t>За период проверки 2019-2021 проверено:</w:t>
      </w:r>
    </w:p>
    <w:p w:rsidR="00E43579" w:rsidRPr="00E1004D" w:rsidRDefault="00E43579" w:rsidP="00E43579">
      <w:pPr>
        <w:pStyle w:val="ad"/>
        <w:ind w:firstLine="709"/>
        <w:jc w:val="both"/>
      </w:pPr>
      <w:r w:rsidRPr="00E1004D">
        <w:t xml:space="preserve"> - </w:t>
      </w:r>
      <w:r w:rsidR="00D24DFC">
        <w:t>За период 2019-2021 о</w:t>
      </w:r>
      <w:r w:rsidRPr="00E1004D">
        <w:t xml:space="preserve">бщий объем </w:t>
      </w:r>
      <w:r w:rsidR="00D24DFC">
        <w:t xml:space="preserve">проверенных </w:t>
      </w:r>
      <w:r w:rsidRPr="00E1004D">
        <w:t xml:space="preserve">денежных средств и их эквивалентов по доходам </w:t>
      </w:r>
      <w:r w:rsidR="00D24DFC">
        <w:t xml:space="preserve">составил </w:t>
      </w:r>
      <w:r w:rsidRPr="00E1004D">
        <w:t>516 803 тыс. рублей, по расходам – 510 377 тыс. рублей в т. ч. по годам:</w:t>
      </w:r>
    </w:p>
    <w:p w:rsidR="00E43579" w:rsidRPr="00E1004D" w:rsidRDefault="00E43579" w:rsidP="00E43579">
      <w:pPr>
        <w:pStyle w:val="ad"/>
        <w:ind w:firstLine="709"/>
        <w:jc w:val="both"/>
      </w:pPr>
      <w:r w:rsidRPr="00E1004D">
        <w:t>2019 доходы - 145 647 тыс. рублей, расходы - 124 487 тыс. рублей;</w:t>
      </w:r>
    </w:p>
    <w:p w:rsidR="00E43579" w:rsidRPr="00E1004D" w:rsidRDefault="00E43579" w:rsidP="00E43579">
      <w:pPr>
        <w:pStyle w:val="ad"/>
        <w:ind w:firstLine="709"/>
        <w:jc w:val="both"/>
      </w:pPr>
      <w:r w:rsidRPr="00E1004D">
        <w:t>2020 доходы - 176 174 тыс. рублей, расходы - 178 420 тыс. рублей;</w:t>
      </w:r>
    </w:p>
    <w:p w:rsidR="00E43579" w:rsidRPr="00E1004D" w:rsidRDefault="00E43579" w:rsidP="00E43579">
      <w:pPr>
        <w:pStyle w:val="ad"/>
        <w:ind w:firstLine="709"/>
        <w:jc w:val="both"/>
      </w:pPr>
      <w:r w:rsidRPr="00E1004D">
        <w:t>2021 доходы - 194 982 тыс. рублей</w:t>
      </w:r>
      <w:r w:rsidR="00D24DFC">
        <w:t>, расходы - 207 470 тыс. рублей.</w:t>
      </w:r>
    </w:p>
    <w:p w:rsidR="00E43579" w:rsidRPr="00E1004D" w:rsidRDefault="00D24DFC" w:rsidP="00E43579">
      <w:pPr>
        <w:pStyle w:val="ad"/>
        <w:ind w:firstLine="709"/>
        <w:jc w:val="both"/>
      </w:pPr>
      <w:r>
        <w:t>О</w:t>
      </w:r>
      <w:r w:rsidR="00E43579" w:rsidRPr="00E1004D">
        <w:t xml:space="preserve">бщий объем нарушений </w:t>
      </w:r>
      <w:r w:rsidR="00E1004D">
        <w:t>составил</w:t>
      </w:r>
      <w:r w:rsidR="00E43579" w:rsidRPr="00E1004D">
        <w:t xml:space="preserve"> – 103 284, 42467 тыс. рублей.</w:t>
      </w:r>
    </w:p>
    <w:p w:rsidR="00083D0A" w:rsidRDefault="00083D0A" w:rsidP="00083D0A">
      <w:pPr>
        <w:pStyle w:val="ad"/>
        <w:ind w:firstLine="709"/>
        <w:jc w:val="both"/>
      </w:pPr>
    </w:p>
    <w:p w:rsidR="00832F78" w:rsidRPr="00BD4DE5" w:rsidRDefault="00653E8A" w:rsidP="00F817A8">
      <w:pPr>
        <w:pStyle w:val="ad"/>
        <w:ind w:firstLine="709"/>
        <w:jc w:val="both"/>
        <w:rPr>
          <w:sz w:val="25"/>
          <w:szCs w:val="25"/>
        </w:rPr>
      </w:pPr>
      <w:r w:rsidRPr="003A68DB">
        <w:t>О</w:t>
      </w:r>
      <w:r w:rsidR="000D1B53" w:rsidRPr="003A68DB">
        <w:t>тчет</w:t>
      </w:r>
      <w:r w:rsidRPr="003A68DB">
        <w:t xml:space="preserve"> о результатах контрольного мероприятия</w:t>
      </w:r>
      <w:r w:rsidR="00832F78" w:rsidRPr="003A68DB">
        <w:t xml:space="preserve"> </w:t>
      </w:r>
      <w:r w:rsidR="009D5700" w:rsidRPr="009D5700">
        <w:t>«Проверка целевого и эффективного использования средств местного бюджета Муниципальным казенным предприятием Вилючинского городского округа «</w:t>
      </w:r>
      <w:proofErr w:type="spellStart"/>
      <w:r w:rsidR="009D5700" w:rsidRPr="009D5700">
        <w:t>Вилючинский</w:t>
      </w:r>
      <w:proofErr w:type="spellEnd"/>
      <w:r w:rsidR="009D5700" w:rsidRPr="009D5700">
        <w:t xml:space="preserve"> водоканал», в том числе направленных на финансовое обеспечение затрат, связанных с его созданием»</w:t>
      </w:r>
      <w:r w:rsidRPr="003A68DB">
        <w:t xml:space="preserve"> </w:t>
      </w:r>
      <w:r w:rsidR="00832F78" w:rsidRPr="003A68DB">
        <w:t xml:space="preserve">от </w:t>
      </w:r>
      <w:r w:rsidR="001449BC">
        <w:t>26</w:t>
      </w:r>
      <w:r w:rsidR="00832F78" w:rsidRPr="003A68DB">
        <w:t>.</w:t>
      </w:r>
      <w:r w:rsidR="00677641">
        <w:t>0</w:t>
      </w:r>
      <w:r w:rsidR="001449BC">
        <w:t>9</w:t>
      </w:r>
      <w:r w:rsidR="00832F78" w:rsidRPr="003A68DB">
        <w:t>.20</w:t>
      </w:r>
      <w:r w:rsidR="000000C2" w:rsidRPr="003A68DB">
        <w:t>2</w:t>
      </w:r>
      <w:r w:rsidR="00677641">
        <w:t>2</w:t>
      </w:r>
      <w:r w:rsidR="00832F78" w:rsidRPr="003A68DB">
        <w:t xml:space="preserve"> № </w:t>
      </w:r>
      <w:r w:rsidR="001449BC">
        <w:t>1</w:t>
      </w:r>
      <w:r w:rsidR="00902728" w:rsidRPr="003A68DB">
        <w:t xml:space="preserve"> </w:t>
      </w:r>
      <w:r w:rsidR="000D6044" w:rsidRPr="003A68DB">
        <w:t xml:space="preserve">с выводами и предложениями (рекомендациями) </w:t>
      </w:r>
      <w:r w:rsidR="00832F78" w:rsidRPr="003A68DB">
        <w:t xml:space="preserve">направлен </w:t>
      </w:r>
      <w:r w:rsidR="000D1B53" w:rsidRPr="003A68DB">
        <w:t xml:space="preserve">главе Вилючинского городского округа и председателю Думы </w:t>
      </w:r>
      <w:bookmarkStart w:id="2" w:name="_GoBack"/>
      <w:r w:rsidR="000D1B53" w:rsidRPr="003A68DB">
        <w:t xml:space="preserve">Вилючинского городского округа. </w:t>
      </w:r>
      <w:bookmarkEnd w:id="2"/>
    </w:p>
    <w:sectPr w:rsidR="00832F78" w:rsidRPr="00BD4DE5" w:rsidSect="001A6544">
      <w:footerReference w:type="even" r:id="rId7"/>
      <w:footerReference w:type="default" r:id="rId8"/>
      <w:pgSz w:w="11906" w:h="16838"/>
      <w:pgMar w:top="1134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0C4" w:rsidRDefault="00C210C4">
      <w:r>
        <w:separator/>
      </w:r>
    </w:p>
  </w:endnote>
  <w:endnote w:type="continuationSeparator" w:id="0">
    <w:p w:rsidR="00C210C4" w:rsidRDefault="00C2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5FF">
      <w:rPr>
        <w:rStyle w:val="a5"/>
        <w:noProof/>
      </w:rPr>
      <w:t>2</w: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0C4" w:rsidRDefault="00C210C4">
      <w:r>
        <w:separator/>
      </w:r>
    </w:p>
  </w:footnote>
  <w:footnote w:type="continuationSeparator" w:id="0">
    <w:p w:rsidR="00C210C4" w:rsidRDefault="00C2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D3D"/>
    <w:multiLevelType w:val="hybridMultilevel"/>
    <w:tmpl w:val="EE98F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B76A2"/>
    <w:multiLevelType w:val="hybridMultilevel"/>
    <w:tmpl w:val="483485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4078A4"/>
    <w:multiLevelType w:val="hybridMultilevel"/>
    <w:tmpl w:val="F5D8E22E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B92"/>
    <w:multiLevelType w:val="hybridMultilevel"/>
    <w:tmpl w:val="9A5E7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2B5FAD"/>
    <w:multiLevelType w:val="hybridMultilevel"/>
    <w:tmpl w:val="74DEE6C2"/>
    <w:lvl w:ilvl="0" w:tplc="A1969A5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17E9"/>
    <w:multiLevelType w:val="hybridMultilevel"/>
    <w:tmpl w:val="810E9C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339592C"/>
    <w:multiLevelType w:val="hybridMultilevel"/>
    <w:tmpl w:val="F38032BC"/>
    <w:lvl w:ilvl="0" w:tplc="A1969A5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46F13BF2"/>
    <w:multiLevelType w:val="hybridMultilevel"/>
    <w:tmpl w:val="F6E686A0"/>
    <w:lvl w:ilvl="0" w:tplc="A1969A5A">
      <w:numFmt w:val="bullet"/>
      <w:lvlText w:val="-"/>
      <w:lvlJc w:val="left"/>
      <w:pPr>
        <w:ind w:left="18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 w15:restartNumberingAfterBreak="0">
    <w:nsid w:val="500A6851"/>
    <w:multiLevelType w:val="hybridMultilevel"/>
    <w:tmpl w:val="F87AEC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2E86529"/>
    <w:multiLevelType w:val="hybridMultilevel"/>
    <w:tmpl w:val="59F0B7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3993C28"/>
    <w:multiLevelType w:val="multilevel"/>
    <w:tmpl w:val="073001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D5D5FAD"/>
    <w:multiLevelType w:val="hybridMultilevel"/>
    <w:tmpl w:val="565A3E8A"/>
    <w:lvl w:ilvl="0" w:tplc="A1969A5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C"/>
    <w:rsid w:val="000000C2"/>
    <w:rsid w:val="00014B9E"/>
    <w:rsid w:val="00020B2B"/>
    <w:rsid w:val="00025E4F"/>
    <w:rsid w:val="00027B4D"/>
    <w:rsid w:val="00051436"/>
    <w:rsid w:val="00067CFC"/>
    <w:rsid w:val="00070AED"/>
    <w:rsid w:val="00073D44"/>
    <w:rsid w:val="00076DF0"/>
    <w:rsid w:val="00083D0A"/>
    <w:rsid w:val="00094CE0"/>
    <w:rsid w:val="000A7047"/>
    <w:rsid w:val="000A716B"/>
    <w:rsid w:val="000B2E14"/>
    <w:rsid w:val="000C7620"/>
    <w:rsid w:val="000D1B53"/>
    <w:rsid w:val="000D5DCC"/>
    <w:rsid w:val="000D6044"/>
    <w:rsid w:val="00120DE2"/>
    <w:rsid w:val="0013590D"/>
    <w:rsid w:val="001449BC"/>
    <w:rsid w:val="00144E59"/>
    <w:rsid w:val="0016725C"/>
    <w:rsid w:val="00172278"/>
    <w:rsid w:val="001819D4"/>
    <w:rsid w:val="00187D09"/>
    <w:rsid w:val="00190592"/>
    <w:rsid w:val="001A6544"/>
    <w:rsid w:val="001B3DD3"/>
    <w:rsid w:val="001C4EC2"/>
    <w:rsid w:val="001C7C00"/>
    <w:rsid w:val="001D45DC"/>
    <w:rsid w:val="001D4677"/>
    <w:rsid w:val="001E7E05"/>
    <w:rsid w:val="001F178B"/>
    <w:rsid w:val="001F698B"/>
    <w:rsid w:val="00202442"/>
    <w:rsid w:val="00205EC1"/>
    <w:rsid w:val="00206FD1"/>
    <w:rsid w:val="002321B5"/>
    <w:rsid w:val="0023714C"/>
    <w:rsid w:val="002514AC"/>
    <w:rsid w:val="002522BE"/>
    <w:rsid w:val="00255A79"/>
    <w:rsid w:val="002847C2"/>
    <w:rsid w:val="00296948"/>
    <w:rsid w:val="002B282E"/>
    <w:rsid w:val="002F759A"/>
    <w:rsid w:val="00301787"/>
    <w:rsid w:val="003051F1"/>
    <w:rsid w:val="00312238"/>
    <w:rsid w:val="00313F58"/>
    <w:rsid w:val="003158E5"/>
    <w:rsid w:val="00356696"/>
    <w:rsid w:val="0036134E"/>
    <w:rsid w:val="003635FF"/>
    <w:rsid w:val="00374D87"/>
    <w:rsid w:val="003853D6"/>
    <w:rsid w:val="00390740"/>
    <w:rsid w:val="003A3B52"/>
    <w:rsid w:val="003A612C"/>
    <w:rsid w:val="003A68DB"/>
    <w:rsid w:val="003A7B0F"/>
    <w:rsid w:val="003A7E8B"/>
    <w:rsid w:val="003B25B4"/>
    <w:rsid w:val="003B714E"/>
    <w:rsid w:val="003C2D3A"/>
    <w:rsid w:val="003F1508"/>
    <w:rsid w:val="00413DB3"/>
    <w:rsid w:val="0042464D"/>
    <w:rsid w:val="00446828"/>
    <w:rsid w:val="00480007"/>
    <w:rsid w:val="00483706"/>
    <w:rsid w:val="004D1685"/>
    <w:rsid w:val="004F78BD"/>
    <w:rsid w:val="004F79AA"/>
    <w:rsid w:val="0052639C"/>
    <w:rsid w:val="00526F5F"/>
    <w:rsid w:val="00540F49"/>
    <w:rsid w:val="00541919"/>
    <w:rsid w:val="00544845"/>
    <w:rsid w:val="00551A32"/>
    <w:rsid w:val="005532B7"/>
    <w:rsid w:val="005841C6"/>
    <w:rsid w:val="005B1E7D"/>
    <w:rsid w:val="005B5BCB"/>
    <w:rsid w:val="005F13DF"/>
    <w:rsid w:val="005F15B6"/>
    <w:rsid w:val="00601AFC"/>
    <w:rsid w:val="00626A3A"/>
    <w:rsid w:val="00630702"/>
    <w:rsid w:val="00653E8A"/>
    <w:rsid w:val="00662370"/>
    <w:rsid w:val="00677641"/>
    <w:rsid w:val="006A3AA9"/>
    <w:rsid w:val="006A6266"/>
    <w:rsid w:val="006B28ED"/>
    <w:rsid w:val="006B730F"/>
    <w:rsid w:val="00733E9E"/>
    <w:rsid w:val="00747C15"/>
    <w:rsid w:val="00750BD8"/>
    <w:rsid w:val="007613FA"/>
    <w:rsid w:val="007620F7"/>
    <w:rsid w:val="007637B4"/>
    <w:rsid w:val="007734B2"/>
    <w:rsid w:val="00774995"/>
    <w:rsid w:val="00794CDF"/>
    <w:rsid w:val="007A3C94"/>
    <w:rsid w:val="007A3D3A"/>
    <w:rsid w:val="007A51FC"/>
    <w:rsid w:val="007A7A57"/>
    <w:rsid w:val="007D114B"/>
    <w:rsid w:val="00825473"/>
    <w:rsid w:val="00832F78"/>
    <w:rsid w:val="008379CA"/>
    <w:rsid w:val="00845FA8"/>
    <w:rsid w:val="00862B05"/>
    <w:rsid w:val="00877EB1"/>
    <w:rsid w:val="00884010"/>
    <w:rsid w:val="008B29CF"/>
    <w:rsid w:val="008B55E7"/>
    <w:rsid w:val="008B5AEB"/>
    <w:rsid w:val="008B62D8"/>
    <w:rsid w:val="008C2C60"/>
    <w:rsid w:val="008C5A72"/>
    <w:rsid w:val="008F6AB4"/>
    <w:rsid w:val="00902728"/>
    <w:rsid w:val="0091270B"/>
    <w:rsid w:val="00920FFC"/>
    <w:rsid w:val="009257FF"/>
    <w:rsid w:val="009353AA"/>
    <w:rsid w:val="00937387"/>
    <w:rsid w:val="009451A8"/>
    <w:rsid w:val="00954382"/>
    <w:rsid w:val="0097796F"/>
    <w:rsid w:val="00986B2B"/>
    <w:rsid w:val="009A636A"/>
    <w:rsid w:val="009B47DC"/>
    <w:rsid w:val="009D1472"/>
    <w:rsid w:val="009D38CF"/>
    <w:rsid w:val="009D5700"/>
    <w:rsid w:val="009F5E16"/>
    <w:rsid w:val="00A0336C"/>
    <w:rsid w:val="00A12F74"/>
    <w:rsid w:val="00A45A1A"/>
    <w:rsid w:val="00A50E29"/>
    <w:rsid w:val="00A529D9"/>
    <w:rsid w:val="00A9091A"/>
    <w:rsid w:val="00AC1EB5"/>
    <w:rsid w:val="00AD2878"/>
    <w:rsid w:val="00AE45AB"/>
    <w:rsid w:val="00AF1482"/>
    <w:rsid w:val="00B06F6B"/>
    <w:rsid w:val="00B77D5A"/>
    <w:rsid w:val="00B81BE7"/>
    <w:rsid w:val="00B82B54"/>
    <w:rsid w:val="00B8351F"/>
    <w:rsid w:val="00B87FAE"/>
    <w:rsid w:val="00BB60AF"/>
    <w:rsid w:val="00BD1226"/>
    <w:rsid w:val="00BD4DE5"/>
    <w:rsid w:val="00BD5ACC"/>
    <w:rsid w:val="00C1441F"/>
    <w:rsid w:val="00C210C4"/>
    <w:rsid w:val="00C44226"/>
    <w:rsid w:val="00C52536"/>
    <w:rsid w:val="00C63E62"/>
    <w:rsid w:val="00C67246"/>
    <w:rsid w:val="00C764ED"/>
    <w:rsid w:val="00CC14E0"/>
    <w:rsid w:val="00CD6B73"/>
    <w:rsid w:val="00CE64CD"/>
    <w:rsid w:val="00D16C83"/>
    <w:rsid w:val="00D24DFC"/>
    <w:rsid w:val="00D44544"/>
    <w:rsid w:val="00D52FDD"/>
    <w:rsid w:val="00D66E30"/>
    <w:rsid w:val="00D76BF8"/>
    <w:rsid w:val="00D86C20"/>
    <w:rsid w:val="00DB13BB"/>
    <w:rsid w:val="00DB1BCA"/>
    <w:rsid w:val="00DB2623"/>
    <w:rsid w:val="00DD133C"/>
    <w:rsid w:val="00DD1DF4"/>
    <w:rsid w:val="00E1004D"/>
    <w:rsid w:val="00E1764A"/>
    <w:rsid w:val="00E27CA2"/>
    <w:rsid w:val="00E43579"/>
    <w:rsid w:val="00E5502A"/>
    <w:rsid w:val="00E608CE"/>
    <w:rsid w:val="00E76F80"/>
    <w:rsid w:val="00E77925"/>
    <w:rsid w:val="00E81A2E"/>
    <w:rsid w:val="00E822AD"/>
    <w:rsid w:val="00E90AA0"/>
    <w:rsid w:val="00EA14E5"/>
    <w:rsid w:val="00EA2A53"/>
    <w:rsid w:val="00EB42C3"/>
    <w:rsid w:val="00EB5888"/>
    <w:rsid w:val="00ED692A"/>
    <w:rsid w:val="00F0683E"/>
    <w:rsid w:val="00F25D66"/>
    <w:rsid w:val="00F31CC7"/>
    <w:rsid w:val="00F549BF"/>
    <w:rsid w:val="00F634B9"/>
    <w:rsid w:val="00F81166"/>
    <w:rsid w:val="00F817A8"/>
    <w:rsid w:val="00F95355"/>
    <w:rsid w:val="00FB52B4"/>
    <w:rsid w:val="00FB5571"/>
    <w:rsid w:val="00FC44ED"/>
    <w:rsid w:val="00FE156C"/>
    <w:rsid w:val="00FF591A"/>
    <w:rsid w:val="00FF7B34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88C75"/>
  <w15:docId w15:val="{980FA993-3944-44F9-93A5-4C61489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C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CFC"/>
  </w:style>
  <w:style w:type="paragraph" w:customStyle="1" w:styleId="Default">
    <w:name w:val="Default"/>
    <w:rsid w:val="00067C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rsid w:val="00067CFC"/>
    <w:rPr>
      <w:sz w:val="24"/>
      <w:szCs w:val="24"/>
    </w:rPr>
  </w:style>
  <w:style w:type="paragraph" w:styleId="a6">
    <w:name w:val="Title"/>
    <w:basedOn w:val="a"/>
    <w:link w:val="a7"/>
    <w:qFormat/>
    <w:rsid w:val="00067CFC"/>
    <w:pPr>
      <w:jc w:val="center"/>
    </w:pPr>
    <w:rPr>
      <w:sz w:val="28"/>
    </w:rPr>
  </w:style>
  <w:style w:type="paragraph" w:styleId="a8">
    <w:name w:val="footnote text"/>
    <w:basedOn w:val="a"/>
    <w:link w:val="a9"/>
    <w:uiPriority w:val="99"/>
    <w:unhideWhenUsed/>
    <w:rsid w:val="00CD6B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rsid w:val="00CD6B73"/>
    <w:rPr>
      <w:rFonts w:ascii="Calibri" w:hAnsi="Calibri"/>
    </w:rPr>
  </w:style>
  <w:style w:type="character" w:styleId="aa">
    <w:name w:val="footnote reference"/>
    <w:uiPriority w:val="99"/>
    <w:unhideWhenUsed/>
    <w:rsid w:val="00CD6B73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CD6B7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CD6B73"/>
    <w:rPr>
      <w:rFonts w:ascii="Calibri" w:hAnsi="Calibri"/>
      <w:sz w:val="22"/>
      <w:szCs w:val="22"/>
    </w:rPr>
  </w:style>
  <w:style w:type="character" w:customStyle="1" w:styleId="4">
    <w:name w:val="Знак Знак4"/>
    <w:rsid w:val="00FB5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1E7E05"/>
    <w:rPr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rsid w:val="003A7B0F"/>
    <w:rPr>
      <w:sz w:val="28"/>
      <w:szCs w:val="24"/>
    </w:rPr>
  </w:style>
  <w:style w:type="paragraph" w:styleId="ab">
    <w:name w:val="Balloon Text"/>
    <w:basedOn w:val="a"/>
    <w:link w:val="ac"/>
    <w:rsid w:val="008B29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B29C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D1B53"/>
    <w:rPr>
      <w:sz w:val="24"/>
      <w:szCs w:val="24"/>
    </w:rPr>
  </w:style>
  <w:style w:type="paragraph" w:styleId="ae">
    <w:name w:val="List Paragraph"/>
    <w:basedOn w:val="a"/>
    <w:uiPriority w:val="34"/>
    <w:qFormat/>
    <w:rsid w:val="0013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3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Контрольно-счетная палата ВГО Учреждение</cp:lastModifiedBy>
  <cp:revision>6</cp:revision>
  <cp:lastPrinted>2022-11-24T23:54:00Z</cp:lastPrinted>
  <dcterms:created xsi:type="dcterms:W3CDTF">2022-11-22T23:17:00Z</dcterms:created>
  <dcterms:modified xsi:type="dcterms:W3CDTF">2022-11-24T23:54:00Z</dcterms:modified>
</cp:coreProperties>
</file>