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444" w:rsidRDefault="007C2444" w:rsidP="007C2444">
      <w:pPr>
        <w:pStyle w:val="a3"/>
        <w:tabs>
          <w:tab w:val="left" w:pos="540"/>
        </w:tabs>
        <w:jc w:val="right"/>
        <w:rPr>
          <w:bCs/>
          <w:sz w:val="22"/>
          <w:szCs w:val="25"/>
        </w:rPr>
      </w:pPr>
      <w:r>
        <w:rPr>
          <w:bCs/>
          <w:sz w:val="22"/>
          <w:szCs w:val="25"/>
        </w:rPr>
        <w:t xml:space="preserve">Приложение № </w:t>
      </w:r>
      <w:r w:rsidR="00351C0A">
        <w:rPr>
          <w:bCs/>
          <w:sz w:val="22"/>
          <w:szCs w:val="25"/>
        </w:rPr>
        <w:t>9</w:t>
      </w:r>
    </w:p>
    <w:p w:rsidR="007C2444" w:rsidRDefault="007C2444" w:rsidP="007C2444">
      <w:pPr>
        <w:pStyle w:val="a3"/>
        <w:tabs>
          <w:tab w:val="left" w:pos="540"/>
        </w:tabs>
        <w:jc w:val="right"/>
        <w:rPr>
          <w:bCs/>
          <w:sz w:val="22"/>
          <w:szCs w:val="25"/>
        </w:rPr>
      </w:pPr>
      <w:r>
        <w:rPr>
          <w:bCs/>
          <w:sz w:val="22"/>
          <w:szCs w:val="25"/>
        </w:rPr>
        <w:t xml:space="preserve">к письму от </w:t>
      </w:r>
      <w:r w:rsidR="00DD00AC">
        <w:rPr>
          <w:bCs/>
          <w:sz w:val="22"/>
          <w:szCs w:val="25"/>
        </w:rPr>
        <w:t>27.07</w:t>
      </w:r>
      <w:r>
        <w:rPr>
          <w:bCs/>
          <w:sz w:val="22"/>
          <w:szCs w:val="25"/>
        </w:rPr>
        <w:t xml:space="preserve">.2020 № </w:t>
      </w:r>
      <w:r w:rsidR="00DD00AC">
        <w:rPr>
          <w:bCs/>
          <w:sz w:val="22"/>
          <w:szCs w:val="25"/>
        </w:rPr>
        <w:t>1</w:t>
      </w:r>
      <w:r>
        <w:rPr>
          <w:bCs/>
          <w:sz w:val="22"/>
          <w:szCs w:val="25"/>
        </w:rPr>
        <w:t>3</w:t>
      </w:r>
      <w:r w:rsidR="00DD00AC">
        <w:rPr>
          <w:bCs/>
          <w:sz w:val="22"/>
          <w:szCs w:val="25"/>
        </w:rPr>
        <w:t>5</w:t>
      </w:r>
    </w:p>
    <w:p w:rsidR="00C35966" w:rsidRPr="00C35966" w:rsidRDefault="00C35966" w:rsidP="00FD2055">
      <w:pPr>
        <w:pStyle w:val="a3"/>
        <w:tabs>
          <w:tab w:val="left" w:pos="540"/>
        </w:tabs>
        <w:rPr>
          <w:b/>
          <w:bCs/>
          <w:sz w:val="22"/>
          <w:szCs w:val="25"/>
        </w:rPr>
      </w:pPr>
    </w:p>
    <w:p w:rsidR="00FD2055" w:rsidRPr="00BD4DE5" w:rsidRDefault="00FD2055" w:rsidP="00FD2055">
      <w:pPr>
        <w:pStyle w:val="a3"/>
        <w:tabs>
          <w:tab w:val="left" w:pos="540"/>
        </w:tabs>
        <w:rPr>
          <w:b/>
          <w:bCs/>
          <w:sz w:val="25"/>
          <w:szCs w:val="25"/>
        </w:rPr>
      </w:pPr>
      <w:r w:rsidRPr="00BD4DE5">
        <w:rPr>
          <w:b/>
          <w:bCs/>
          <w:sz w:val="25"/>
          <w:szCs w:val="25"/>
        </w:rPr>
        <w:t xml:space="preserve">Информация </w:t>
      </w:r>
    </w:p>
    <w:p w:rsidR="00FD2055" w:rsidRPr="00BD4DE5" w:rsidRDefault="00FD2055" w:rsidP="00FD2055">
      <w:pPr>
        <w:pStyle w:val="Default"/>
        <w:jc w:val="center"/>
        <w:rPr>
          <w:b/>
          <w:sz w:val="25"/>
          <w:szCs w:val="25"/>
        </w:rPr>
      </w:pPr>
      <w:r w:rsidRPr="00BD4DE5">
        <w:rPr>
          <w:b/>
          <w:sz w:val="25"/>
          <w:szCs w:val="25"/>
        </w:rPr>
        <w:t xml:space="preserve">по результатам экспертно-аналитического мероприятия </w:t>
      </w:r>
    </w:p>
    <w:p w:rsidR="00FD2055" w:rsidRPr="00BD4DE5" w:rsidRDefault="00FD2055" w:rsidP="00FD2055">
      <w:pPr>
        <w:pStyle w:val="Default"/>
        <w:jc w:val="center"/>
        <w:rPr>
          <w:b/>
          <w:sz w:val="14"/>
          <w:szCs w:val="14"/>
        </w:rPr>
      </w:pPr>
    </w:p>
    <w:p w:rsidR="00351C0A" w:rsidRDefault="00FD2055" w:rsidP="00351C0A">
      <w:pPr>
        <w:pStyle w:val="Default"/>
        <w:jc w:val="center"/>
        <w:rPr>
          <w:b/>
          <w:sz w:val="25"/>
          <w:szCs w:val="25"/>
        </w:rPr>
      </w:pPr>
      <w:r w:rsidRPr="00BD4DE5">
        <w:rPr>
          <w:b/>
          <w:sz w:val="25"/>
          <w:szCs w:val="25"/>
        </w:rPr>
        <w:t xml:space="preserve"> </w:t>
      </w:r>
      <w:r w:rsidRPr="001C57DC">
        <w:rPr>
          <w:b/>
          <w:sz w:val="25"/>
          <w:szCs w:val="25"/>
        </w:rPr>
        <w:t>Экспертиза проекта решения Думы Вилючинского городского округа</w:t>
      </w:r>
      <w:r>
        <w:rPr>
          <w:b/>
          <w:sz w:val="25"/>
          <w:szCs w:val="25"/>
        </w:rPr>
        <w:t xml:space="preserve"> </w:t>
      </w:r>
    </w:p>
    <w:p w:rsidR="00FD2055" w:rsidRPr="00351C0A" w:rsidRDefault="000A6547" w:rsidP="00351C0A">
      <w:pPr>
        <w:pStyle w:val="Default"/>
        <w:jc w:val="center"/>
        <w:rPr>
          <w:b/>
          <w:sz w:val="25"/>
          <w:szCs w:val="25"/>
        </w:rPr>
      </w:pPr>
      <w:r w:rsidRPr="000A6547">
        <w:rPr>
          <w:b/>
          <w:sz w:val="25"/>
          <w:szCs w:val="25"/>
        </w:rPr>
        <w:t>«О внесении изменений в раздел 4 к решению Думы Вилючинского городского округа от 17.03.2015 № 333/72-5 «Об утверждении Положения о предоставлении гарантий и компенсаций для лиц, проживающих в Камчатском крае и работающих в органах местного самоуправления, муниципальных учреждениях Вилючинского городского округа»</w:t>
      </w:r>
      <w:bookmarkStart w:id="0" w:name="_GoBack"/>
      <w:bookmarkEnd w:id="0"/>
    </w:p>
    <w:p w:rsidR="00FD2055" w:rsidRPr="00BD4DE5" w:rsidRDefault="00FD2055" w:rsidP="00FD2055">
      <w:pPr>
        <w:pStyle w:val="Default"/>
        <w:ind w:firstLine="540"/>
        <w:jc w:val="both"/>
        <w:rPr>
          <w:bCs/>
          <w:sz w:val="14"/>
          <w:szCs w:val="14"/>
        </w:rPr>
      </w:pPr>
    </w:p>
    <w:p w:rsidR="005A275F" w:rsidRPr="005A275F" w:rsidRDefault="005A275F" w:rsidP="005A275F">
      <w:pPr>
        <w:ind w:firstLine="567"/>
        <w:contextualSpacing/>
        <w:jc w:val="both"/>
        <w:rPr>
          <w:rFonts w:eastAsia="Calibri"/>
          <w:sz w:val="25"/>
          <w:szCs w:val="25"/>
          <w:lang w:eastAsia="en-US"/>
        </w:rPr>
      </w:pPr>
      <w:proofErr w:type="gramStart"/>
      <w:r w:rsidRPr="005A275F">
        <w:rPr>
          <w:rFonts w:eastAsia="Calibri"/>
          <w:sz w:val="25"/>
          <w:szCs w:val="25"/>
          <w:lang w:eastAsia="en-US"/>
        </w:rPr>
        <w:t>Представленным на экспертизу проектом муниципального правового акта предлагается внести в действующее Положение о предоставлении гарантий и компенсаций для лиц, проживающих в Камчатском крае и работающих в органах местного самоуправления, муниципальных учреждениях Вилючинского городского округа изменения, уточняющие виды периодов, входящих в двухлетний период, дающий право работникам на оплату проезда в отпуск.</w:t>
      </w:r>
      <w:proofErr w:type="gramEnd"/>
    </w:p>
    <w:p w:rsidR="005A275F" w:rsidRPr="005A275F" w:rsidRDefault="005A275F" w:rsidP="005A275F">
      <w:pPr>
        <w:ind w:firstLine="567"/>
        <w:contextualSpacing/>
        <w:jc w:val="both"/>
        <w:rPr>
          <w:rFonts w:eastAsia="Calibri"/>
          <w:sz w:val="14"/>
          <w:szCs w:val="14"/>
          <w:lang w:eastAsia="en-US"/>
        </w:rPr>
      </w:pPr>
    </w:p>
    <w:p w:rsidR="005A275F" w:rsidRPr="005A275F" w:rsidRDefault="005A275F" w:rsidP="005A275F">
      <w:pPr>
        <w:ind w:firstLine="567"/>
        <w:contextualSpacing/>
        <w:jc w:val="both"/>
        <w:rPr>
          <w:rFonts w:eastAsia="Calibri"/>
          <w:sz w:val="25"/>
          <w:szCs w:val="25"/>
          <w:lang w:eastAsia="en-US"/>
        </w:rPr>
      </w:pPr>
      <w:r w:rsidRPr="005A275F">
        <w:rPr>
          <w:rFonts w:eastAsia="Calibri"/>
          <w:sz w:val="25"/>
          <w:szCs w:val="25"/>
          <w:lang w:eastAsia="en-US"/>
        </w:rPr>
        <w:t>Анализ проекта муниципального правового акта показал, что его принятие не приведет к возникновению новых расходных обязательств Вилючинского городского округа и (или) увеличению потребности в бюджетных ассигнованиях на обеспечение действующих расходных обязательств Вилючинского городского округа.</w:t>
      </w:r>
    </w:p>
    <w:p w:rsidR="005A275F" w:rsidRPr="005A275F" w:rsidRDefault="005A275F" w:rsidP="00FD2055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10"/>
          <w:szCs w:val="10"/>
        </w:rPr>
      </w:pPr>
    </w:p>
    <w:p w:rsidR="00FD2055" w:rsidRPr="00BD4DE5" w:rsidRDefault="00FD2055" w:rsidP="00FD2055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5"/>
          <w:szCs w:val="25"/>
        </w:rPr>
      </w:pPr>
      <w:r w:rsidRPr="00BD4DE5">
        <w:rPr>
          <w:rFonts w:ascii="Times New Roman" w:hAnsi="Times New Roman"/>
          <w:bCs/>
          <w:sz w:val="25"/>
          <w:szCs w:val="25"/>
        </w:rPr>
        <w:t xml:space="preserve">По результатам мероприятия составлено заключение от </w:t>
      </w:r>
      <w:r w:rsidR="005A275F">
        <w:rPr>
          <w:rFonts w:ascii="Times New Roman" w:hAnsi="Times New Roman"/>
          <w:bCs/>
          <w:sz w:val="25"/>
          <w:szCs w:val="25"/>
        </w:rPr>
        <w:t>10</w:t>
      </w:r>
      <w:r w:rsidRPr="00BD4DE5">
        <w:rPr>
          <w:rFonts w:ascii="Times New Roman" w:hAnsi="Times New Roman"/>
          <w:bCs/>
          <w:sz w:val="25"/>
          <w:szCs w:val="25"/>
        </w:rPr>
        <w:t>.</w:t>
      </w:r>
      <w:r w:rsidR="00DD00AC">
        <w:rPr>
          <w:rFonts w:ascii="Times New Roman" w:hAnsi="Times New Roman"/>
          <w:bCs/>
          <w:sz w:val="25"/>
          <w:szCs w:val="25"/>
        </w:rPr>
        <w:t>0</w:t>
      </w:r>
      <w:r w:rsidR="005A275F">
        <w:rPr>
          <w:rFonts w:ascii="Times New Roman" w:hAnsi="Times New Roman"/>
          <w:bCs/>
          <w:sz w:val="25"/>
          <w:szCs w:val="25"/>
        </w:rPr>
        <w:t>7</w:t>
      </w:r>
      <w:r w:rsidRPr="00BD4DE5">
        <w:rPr>
          <w:rFonts w:ascii="Times New Roman" w:hAnsi="Times New Roman"/>
          <w:bCs/>
          <w:sz w:val="25"/>
          <w:szCs w:val="25"/>
        </w:rPr>
        <w:t>.20</w:t>
      </w:r>
      <w:r w:rsidR="00DD00AC">
        <w:rPr>
          <w:rFonts w:ascii="Times New Roman" w:hAnsi="Times New Roman"/>
          <w:bCs/>
          <w:sz w:val="25"/>
          <w:szCs w:val="25"/>
        </w:rPr>
        <w:t>20</w:t>
      </w:r>
      <w:r w:rsidRPr="00BD4DE5">
        <w:rPr>
          <w:rFonts w:ascii="Times New Roman" w:hAnsi="Times New Roman"/>
          <w:sz w:val="25"/>
          <w:szCs w:val="25"/>
        </w:rPr>
        <w:t xml:space="preserve"> № </w:t>
      </w:r>
      <w:r w:rsidR="005A275F">
        <w:rPr>
          <w:rFonts w:ascii="Times New Roman" w:hAnsi="Times New Roman"/>
          <w:sz w:val="25"/>
          <w:szCs w:val="25"/>
        </w:rPr>
        <w:t>22</w:t>
      </w:r>
      <w:r w:rsidRPr="00BD4DE5">
        <w:rPr>
          <w:rFonts w:ascii="Times New Roman" w:hAnsi="Times New Roman"/>
          <w:sz w:val="25"/>
          <w:szCs w:val="25"/>
        </w:rPr>
        <w:t>/20</w:t>
      </w:r>
      <w:r w:rsidR="00DD00AC">
        <w:rPr>
          <w:rFonts w:ascii="Times New Roman" w:hAnsi="Times New Roman"/>
          <w:sz w:val="25"/>
          <w:szCs w:val="25"/>
        </w:rPr>
        <w:t>20</w:t>
      </w:r>
      <w:r w:rsidRPr="00BD4DE5">
        <w:rPr>
          <w:rFonts w:ascii="Times New Roman" w:hAnsi="Times New Roman"/>
          <w:sz w:val="25"/>
          <w:szCs w:val="25"/>
        </w:rPr>
        <w:t xml:space="preserve">.       </w:t>
      </w:r>
      <w:r w:rsidRPr="00BD4DE5">
        <w:rPr>
          <w:rFonts w:ascii="Times New Roman" w:hAnsi="Times New Roman"/>
          <w:bCs/>
          <w:sz w:val="25"/>
          <w:szCs w:val="25"/>
        </w:rPr>
        <w:t xml:space="preserve">  </w:t>
      </w:r>
    </w:p>
    <w:p w:rsidR="00FD2055" w:rsidRPr="00BD4DE5" w:rsidRDefault="00FD2055" w:rsidP="00FD2055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6"/>
          <w:szCs w:val="6"/>
        </w:rPr>
      </w:pPr>
    </w:p>
    <w:p w:rsidR="00FD2055" w:rsidRDefault="00FD2055" w:rsidP="00FD2055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5"/>
          <w:szCs w:val="25"/>
        </w:rPr>
      </w:pPr>
      <w:r w:rsidRPr="00BD4DE5">
        <w:rPr>
          <w:rFonts w:ascii="Times New Roman" w:hAnsi="Times New Roman"/>
          <w:sz w:val="25"/>
          <w:szCs w:val="25"/>
        </w:rPr>
        <w:t>Заключение направлено в адрес Думы Вилючинского городского округа.</w:t>
      </w:r>
    </w:p>
    <w:p w:rsidR="00C35966" w:rsidRPr="00C35966" w:rsidRDefault="00C35966" w:rsidP="00FD2055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6"/>
          <w:szCs w:val="6"/>
        </w:rPr>
      </w:pPr>
    </w:p>
    <w:sectPr w:rsidR="00C35966" w:rsidRPr="00C35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ECE"/>
    <w:rsid w:val="000A6547"/>
    <w:rsid w:val="00115189"/>
    <w:rsid w:val="00116517"/>
    <w:rsid w:val="002A1ECE"/>
    <w:rsid w:val="002C1D52"/>
    <w:rsid w:val="0031480A"/>
    <w:rsid w:val="00351C0A"/>
    <w:rsid w:val="003824B5"/>
    <w:rsid w:val="005764FC"/>
    <w:rsid w:val="005A275F"/>
    <w:rsid w:val="006B32CD"/>
    <w:rsid w:val="007C2444"/>
    <w:rsid w:val="00B66679"/>
    <w:rsid w:val="00BA730C"/>
    <w:rsid w:val="00BB13F9"/>
    <w:rsid w:val="00C20B32"/>
    <w:rsid w:val="00C35966"/>
    <w:rsid w:val="00DD00AC"/>
    <w:rsid w:val="00DD0E02"/>
    <w:rsid w:val="00E93858"/>
    <w:rsid w:val="00EE1F05"/>
    <w:rsid w:val="00FD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20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D205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D20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FD2055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D205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13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13F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20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D205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D20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FD2055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D205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13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13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KSP_1</cp:lastModifiedBy>
  <cp:revision>3</cp:revision>
  <cp:lastPrinted>2020-01-12T20:41:00Z</cp:lastPrinted>
  <dcterms:created xsi:type="dcterms:W3CDTF">2020-07-27T05:52:00Z</dcterms:created>
  <dcterms:modified xsi:type="dcterms:W3CDTF">2020-07-27T06:51:00Z</dcterms:modified>
</cp:coreProperties>
</file>