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44" w:rsidRDefault="007C2444" w:rsidP="007C2444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r>
        <w:rPr>
          <w:bCs/>
          <w:sz w:val="22"/>
          <w:szCs w:val="25"/>
        </w:rPr>
        <w:t xml:space="preserve">Приложение № </w:t>
      </w:r>
      <w:r w:rsidR="00BF27AC">
        <w:rPr>
          <w:bCs/>
          <w:sz w:val="22"/>
          <w:szCs w:val="25"/>
        </w:rPr>
        <w:t>5</w:t>
      </w:r>
    </w:p>
    <w:p w:rsidR="007C2444" w:rsidRDefault="007C2444" w:rsidP="007C2444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r>
        <w:rPr>
          <w:bCs/>
          <w:sz w:val="22"/>
          <w:szCs w:val="25"/>
        </w:rPr>
        <w:t xml:space="preserve">к письму от </w:t>
      </w:r>
      <w:r w:rsidR="00BF27AC">
        <w:rPr>
          <w:bCs/>
          <w:sz w:val="22"/>
          <w:szCs w:val="25"/>
        </w:rPr>
        <w:t>27</w:t>
      </w:r>
      <w:r>
        <w:rPr>
          <w:bCs/>
          <w:sz w:val="22"/>
          <w:szCs w:val="25"/>
        </w:rPr>
        <w:t>.0</w:t>
      </w:r>
      <w:r w:rsidR="00BF27AC">
        <w:rPr>
          <w:bCs/>
          <w:sz w:val="22"/>
          <w:szCs w:val="25"/>
        </w:rPr>
        <w:t>7</w:t>
      </w:r>
      <w:r>
        <w:rPr>
          <w:bCs/>
          <w:sz w:val="22"/>
          <w:szCs w:val="25"/>
        </w:rPr>
        <w:t xml:space="preserve">.2020 № </w:t>
      </w:r>
      <w:r w:rsidR="00BF27AC">
        <w:rPr>
          <w:bCs/>
          <w:sz w:val="22"/>
          <w:szCs w:val="25"/>
        </w:rPr>
        <w:t>1</w:t>
      </w:r>
      <w:r>
        <w:rPr>
          <w:bCs/>
          <w:sz w:val="22"/>
          <w:szCs w:val="25"/>
        </w:rPr>
        <w:t>3</w:t>
      </w:r>
      <w:r w:rsidR="00BF27AC">
        <w:rPr>
          <w:bCs/>
          <w:sz w:val="22"/>
          <w:szCs w:val="25"/>
        </w:rPr>
        <w:t>5</w:t>
      </w:r>
    </w:p>
    <w:p w:rsidR="00C35966" w:rsidRPr="00C35966" w:rsidRDefault="00C35966" w:rsidP="00FD2055">
      <w:pPr>
        <w:pStyle w:val="a3"/>
        <w:tabs>
          <w:tab w:val="left" w:pos="540"/>
        </w:tabs>
        <w:rPr>
          <w:b/>
          <w:bCs/>
          <w:sz w:val="22"/>
          <w:szCs w:val="25"/>
        </w:rPr>
      </w:pPr>
    </w:p>
    <w:p w:rsidR="00FD2055" w:rsidRPr="00BD4DE5" w:rsidRDefault="00FD2055" w:rsidP="00FD2055">
      <w:pPr>
        <w:pStyle w:val="a3"/>
        <w:tabs>
          <w:tab w:val="left" w:pos="540"/>
        </w:tabs>
        <w:rPr>
          <w:b/>
          <w:bCs/>
          <w:sz w:val="25"/>
          <w:szCs w:val="25"/>
        </w:rPr>
      </w:pPr>
      <w:r w:rsidRPr="00BD4DE5">
        <w:rPr>
          <w:b/>
          <w:bCs/>
          <w:sz w:val="25"/>
          <w:szCs w:val="25"/>
        </w:rPr>
        <w:t xml:space="preserve">Информация </w:t>
      </w:r>
    </w:p>
    <w:p w:rsidR="00FD2055" w:rsidRPr="00BD4DE5" w:rsidRDefault="00FD2055" w:rsidP="00FD2055">
      <w:pPr>
        <w:pStyle w:val="Default"/>
        <w:jc w:val="center"/>
        <w:rPr>
          <w:b/>
          <w:sz w:val="25"/>
          <w:szCs w:val="25"/>
        </w:rPr>
      </w:pPr>
      <w:r w:rsidRPr="00BD4DE5">
        <w:rPr>
          <w:b/>
          <w:sz w:val="25"/>
          <w:szCs w:val="25"/>
        </w:rPr>
        <w:t xml:space="preserve">по результатам экспертно-аналитического мероприятия </w:t>
      </w:r>
    </w:p>
    <w:p w:rsidR="00FD2055" w:rsidRPr="00BD4DE5" w:rsidRDefault="00FD2055" w:rsidP="00FD2055">
      <w:pPr>
        <w:pStyle w:val="Default"/>
        <w:jc w:val="center"/>
        <w:rPr>
          <w:b/>
          <w:sz w:val="14"/>
          <w:szCs w:val="14"/>
        </w:rPr>
      </w:pPr>
    </w:p>
    <w:p w:rsidR="00FD2055" w:rsidRDefault="00FD2055" w:rsidP="00FD2055">
      <w:pPr>
        <w:pStyle w:val="Default"/>
        <w:jc w:val="center"/>
        <w:rPr>
          <w:b/>
          <w:sz w:val="25"/>
          <w:szCs w:val="25"/>
        </w:rPr>
      </w:pPr>
      <w:r w:rsidRPr="00BD4DE5">
        <w:rPr>
          <w:b/>
          <w:sz w:val="25"/>
          <w:szCs w:val="25"/>
        </w:rPr>
        <w:t xml:space="preserve"> </w:t>
      </w:r>
      <w:r w:rsidRPr="001C57DC">
        <w:rPr>
          <w:b/>
          <w:sz w:val="25"/>
          <w:szCs w:val="25"/>
        </w:rPr>
        <w:t>Экспертиза проекта решения Думы Вилючинского городского округа</w:t>
      </w:r>
      <w:r>
        <w:rPr>
          <w:b/>
          <w:sz w:val="25"/>
          <w:szCs w:val="25"/>
        </w:rPr>
        <w:t xml:space="preserve"> </w:t>
      </w:r>
    </w:p>
    <w:p w:rsidR="00FD2055" w:rsidRPr="00FD2055" w:rsidRDefault="00C02F72" w:rsidP="00FD2055">
      <w:pPr>
        <w:pStyle w:val="Default"/>
        <w:jc w:val="center"/>
        <w:rPr>
          <w:b/>
          <w:sz w:val="25"/>
          <w:szCs w:val="25"/>
        </w:rPr>
      </w:pPr>
      <w:r w:rsidRPr="00C02F72">
        <w:rPr>
          <w:b/>
          <w:sz w:val="25"/>
          <w:szCs w:val="25"/>
        </w:rPr>
        <w:t>«О внесении изменений в приложение к решению Думы Вилючинского городского округа от 09.09.2016 № 75/26-6 «Об утверждении Положения об установлении размеров и условий оплаты труда муниципальных служащих органов местного самоуправления Вилючинского городского округа»</w:t>
      </w:r>
      <w:bookmarkStart w:id="0" w:name="_GoBack"/>
      <w:bookmarkEnd w:id="0"/>
    </w:p>
    <w:p w:rsidR="00FD2055" w:rsidRDefault="00FD2055" w:rsidP="00FD2055">
      <w:pPr>
        <w:pStyle w:val="Default"/>
        <w:ind w:firstLine="540"/>
        <w:jc w:val="both"/>
        <w:rPr>
          <w:bCs/>
          <w:sz w:val="14"/>
          <w:szCs w:val="14"/>
        </w:rPr>
      </w:pPr>
    </w:p>
    <w:p w:rsidR="00C02F72" w:rsidRPr="00BD4DE5" w:rsidRDefault="00C02F72" w:rsidP="00FD2055">
      <w:pPr>
        <w:pStyle w:val="Default"/>
        <w:ind w:firstLine="540"/>
        <w:jc w:val="both"/>
        <w:rPr>
          <w:bCs/>
          <w:sz w:val="14"/>
          <w:szCs w:val="14"/>
        </w:rPr>
      </w:pPr>
    </w:p>
    <w:p w:rsidR="00C02F72" w:rsidRPr="00C02F72" w:rsidRDefault="00C02F72" w:rsidP="00C02F72">
      <w:pPr>
        <w:ind w:firstLine="567"/>
        <w:contextualSpacing/>
        <w:jc w:val="both"/>
        <w:rPr>
          <w:rFonts w:eastAsia="Calibri"/>
          <w:sz w:val="25"/>
          <w:szCs w:val="25"/>
          <w:lang w:eastAsia="en-US"/>
        </w:rPr>
      </w:pPr>
      <w:r w:rsidRPr="00C02F72">
        <w:rPr>
          <w:rFonts w:eastAsia="Calibri"/>
          <w:sz w:val="25"/>
          <w:szCs w:val="25"/>
          <w:lang w:eastAsia="en-US"/>
        </w:rPr>
        <w:t>Представленным на экспертизу проектом муниципального правового акта предлагается с 1 января 2020 года установить лицам, замещающим муниципальные должности в Вилючинском городском округе, новые размеры должностных окладов, увеличив их на 4,3 %.</w:t>
      </w:r>
    </w:p>
    <w:p w:rsidR="00C02F72" w:rsidRPr="00C02F72" w:rsidRDefault="00C02F72" w:rsidP="00C02F72">
      <w:pPr>
        <w:ind w:firstLine="567"/>
        <w:contextualSpacing/>
        <w:jc w:val="both"/>
        <w:rPr>
          <w:rFonts w:eastAsia="Calibri"/>
          <w:sz w:val="14"/>
          <w:szCs w:val="14"/>
          <w:lang w:eastAsia="en-US"/>
        </w:rPr>
      </w:pPr>
    </w:p>
    <w:p w:rsidR="00C02F72" w:rsidRPr="00C02F72" w:rsidRDefault="00C02F72" w:rsidP="00C02F72">
      <w:pPr>
        <w:ind w:firstLine="567"/>
        <w:contextualSpacing/>
        <w:jc w:val="both"/>
        <w:rPr>
          <w:rFonts w:eastAsia="Calibri"/>
          <w:sz w:val="25"/>
          <w:szCs w:val="25"/>
          <w:lang w:eastAsia="en-US"/>
        </w:rPr>
      </w:pPr>
      <w:r w:rsidRPr="00C02F72">
        <w:rPr>
          <w:rFonts w:eastAsia="Calibri"/>
          <w:sz w:val="25"/>
          <w:szCs w:val="25"/>
          <w:lang w:eastAsia="en-US"/>
        </w:rPr>
        <w:t>Меры, обеспечивающие повышение уровня реального содержания заработной платы, названы в статье 130 Трудового кодекса Российской Федерации (далее - ТК РФ) в качестве одной из основных государственных гарантий по оплате труда работников. Согласно стать</w:t>
      </w:r>
      <w:r>
        <w:rPr>
          <w:rFonts w:eastAsia="Calibri"/>
          <w:sz w:val="25"/>
          <w:szCs w:val="25"/>
          <w:lang w:eastAsia="en-US"/>
        </w:rPr>
        <w:t>е</w:t>
      </w:r>
      <w:r w:rsidRPr="00C02F72">
        <w:rPr>
          <w:rFonts w:eastAsia="Calibri"/>
          <w:sz w:val="25"/>
          <w:szCs w:val="25"/>
          <w:lang w:eastAsia="en-US"/>
        </w:rPr>
        <w:t xml:space="preserve"> 134 ТК РФ 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услуги. Органы местного самоуправления и муниципальные учреждения производят индексацию заработной платы в порядке, установленном трудовым законодательством и иными нормативными правовыми актами, содержащими нормы трудового права.</w:t>
      </w:r>
    </w:p>
    <w:p w:rsidR="00C02F72" w:rsidRPr="00C02F72" w:rsidRDefault="00C02F72" w:rsidP="00C02F72">
      <w:pPr>
        <w:ind w:firstLine="2977"/>
        <w:contextualSpacing/>
        <w:jc w:val="both"/>
        <w:rPr>
          <w:rFonts w:eastAsia="Calibri"/>
          <w:sz w:val="14"/>
          <w:szCs w:val="14"/>
          <w:lang w:eastAsia="en-US"/>
        </w:rPr>
      </w:pPr>
    </w:p>
    <w:p w:rsidR="00C02F72" w:rsidRPr="00C02F72" w:rsidRDefault="00C02F72" w:rsidP="00C02F72">
      <w:pPr>
        <w:ind w:firstLine="567"/>
        <w:contextualSpacing/>
        <w:jc w:val="both"/>
        <w:rPr>
          <w:rFonts w:eastAsia="Calibri"/>
          <w:sz w:val="25"/>
          <w:szCs w:val="25"/>
          <w:lang w:eastAsia="en-US"/>
        </w:rPr>
      </w:pPr>
      <w:r w:rsidRPr="00C02F72">
        <w:rPr>
          <w:rFonts w:eastAsia="Calibri"/>
          <w:sz w:val="25"/>
          <w:szCs w:val="25"/>
          <w:lang w:eastAsia="en-US"/>
        </w:rPr>
        <w:t>Увеличение размера ранее определенного расходного обязательства не противоречит федеральному законодательству, муниципальным правовым актам Вилючинского городского округа и подлежит исполнению в пределах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в Камчатском крае, установленных соответствующим Постановлением Правительства Камчатского края.</w:t>
      </w:r>
    </w:p>
    <w:p w:rsidR="00C02F72" w:rsidRPr="00C02F72" w:rsidRDefault="00C02F72" w:rsidP="00C02F72">
      <w:pPr>
        <w:ind w:firstLine="567"/>
        <w:contextualSpacing/>
        <w:jc w:val="both"/>
        <w:rPr>
          <w:rFonts w:eastAsia="Calibri"/>
          <w:sz w:val="14"/>
          <w:szCs w:val="14"/>
          <w:u w:val="single"/>
          <w:lang w:eastAsia="en-US"/>
        </w:rPr>
      </w:pPr>
    </w:p>
    <w:p w:rsidR="00C02F72" w:rsidRPr="00C02F72" w:rsidRDefault="00C02F72" w:rsidP="00C02F72">
      <w:pPr>
        <w:ind w:firstLine="567"/>
        <w:contextualSpacing/>
        <w:jc w:val="both"/>
        <w:rPr>
          <w:rFonts w:eastAsia="Calibri"/>
          <w:sz w:val="25"/>
          <w:szCs w:val="25"/>
          <w:lang w:eastAsia="en-US"/>
        </w:rPr>
      </w:pPr>
      <w:proofErr w:type="gramStart"/>
      <w:r w:rsidRPr="00C02F72">
        <w:rPr>
          <w:rFonts w:eastAsia="Calibri"/>
          <w:sz w:val="25"/>
          <w:szCs w:val="25"/>
          <w:lang w:eastAsia="en-US"/>
        </w:rPr>
        <w:t>Контрольно-счетная палата, рассмотрев проект решения Думы Вилючинского городского округа «О внесении изменений в приложение к решению Думы Вилючинского городского округа от 09.09.2016 № 75/26-6 «Об утверждении Положения об установлении размеров и условий оплаты труда муниципальных служащих органов местного самоуправления Вилючинского городского округа», полагает, что проект решения в представленной редакции может быть рассмотрен и принят Думой Вилючинского городского округа.</w:t>
      </w:r>
      <w:proofErr w:type="gramEnd"/>
    </w:p>
    <w:p w:rsidR="00FD2055" w:rsidRPr="007E623D" w:rsidRDefault="00FD2055" w:rsidP="00FD2055">
      <w:pPr>
        <w:ind w:firstLine="567"/>
        <w:contextualSpacing/>
        <w:jc w:val="both"/>
        <w:rPr>
          <w:sz w:val="8"/>
          <w:szCs w:val="8"/>
        </w:rPr>
      </w:pPr>
    </w:p>
    <w:p w:rsidR="00DD0E02" w:rsidRPr="00DD0E02" w:rsidRDefault="00DD0E02" w:rsidP="00DD0E02">
      <w:pPr>
        <w:ind w:firstLine="567"/>
        <w:contextualSpacing/>
        <w:jc w:val="both"/>
        <w:rPr>
          <w:sz w:val="6"/>
          <w:szCs w:val="6"/>
        </w:rPr>
      </w:pPr>
    </w:p>
    <w:p w:rsidR="00FD2055" w:rsidRPr="00BD4DE5" w:rsidRDefault="00FD2055" w:rsidP="00FD2055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5"/>
          <w:szCs w:val="25"/>
        </w:rPr>
      </w:pPr>
      <w:r w:rsidRPr="00BD4DE5">
        <w:rPr>
          <w:rFonts w:ascii="Times New Roman" w:hAnsi="Times New Roman"/>
          <w:bCs/>
          <w:sz w:val="25"/>
          <w:szCs w:val="25"/>
        </w:rPr>
        <w:t xml:space="preserve">По результатам мероприятия составлено заключение от </w:t>
      </w:r>
      <w:r w:rsidR="00C02F72">
        <w:rPr>
          <w:rFonts w:ascii="Times New Roman" w:hAnsi="Times New Roman"/>
          <w:bCs/>
          <w:sz w:val="25"/>
          <w:szCs w:val="25"/>
        </w:rPr>
        <w:t>26</w:t>
      </w:r>
      <w:r w:rsidRPr="00BD4DE5">
        <w:rPr>
          <w:rFonts w:ascii="Times New Roman" w:hAnsi="Times New Roman"/>
          <w:bCs/>
          <w:sz w:val="25"/>
          <w:szCs w:val="25"/>
        </w:rPr>
        <w:t>.</w:t>
      </w:r>
      <w:r w:rsidR="00C02F72">
        <w:rPr>
          <w:rFonts w:ascii="Times New Roman" w:hAnsi="Times New Roman"/>
          <w:bCs/>
          <w:sz w:val="25"/>
          <w:szCs w:val="25"/>
        </w:rPr>
        <w:t>02</w:t>
      </w:r>
      <w:r w:rsidRPr="00BD4DE5">
        <w:rPr>
          <w:rFonts w:ascii="Times New Roman" w:hAnsi="Times New Roman"/>
          <w:bCs/>
          <w:sz w:val="25"/>
          <w:szCs w:val="25"/>
        </w:rPr>
        <w:t>.20</w:t>
      </w:r>
      <w:r w:rsidR="00C02F72">
        <w:rPr>
          <w:rFonts w:ascii="Times New Roman" w:hAnsi="Times New Roman"/>
          <w:bCs/>
          <w:sz w:val="25"/>
          <w:szCs w:val="25"/>
        </w:rPr>
        <w:t>20</w:t>
      </w:r>
      <w:r w:rsidRPr="00BD4DE5">
        <w:rPr>
          <w:rFonts w:ascii="Times New Roman" w:hAnsi="Times New Roman"/>
          <w:sz w:val="25"/>
          <w:szCs w:val="25"/>
        </w:rPr>
        <w:t xml:space="preserve"> № </w:t>
      </w:r>
      <w:r w:rsidR="00C02F72">
        <w:rPr>
          <w:rFonts w:ascii="Times New Roman" w:hAnsi="Times New Roman"/>
          <w:sz w:val="25"/>
          <w:szCs w:val="25"/>
        </w:rPr>
        <w:t>6</w:t>
      </w:r>
      <w:r w:rsidRPr="00BD4DE5">
        <w:rPr>
          <w:rFonts w:ascii="Times New Roman" w:hAnsi="Times New Roman"/>
          <w:sz w:val="25"/>
          <w:szCs w:val="25"/>
        </w:rPr>
        <w:t>/20</w:t>
      </w:r>
      <w:r w:rsidR="00C02F72">
        <w:rPr>
          <w:rFonts w:ascii="Times New Roman" w:hAnsi="Times New Roman"/>
          <w:sz w:val="25"/>
          <w:szCs w:val="25"/>
        </w:rPr>
        <w:t>20</w:t>
      </w:r>
      <w:r w:rsidRPr="00BD4DE5">
        <w:rPr>
          <w:rFonts w:ascii="Times New Roman" w:hAnsi="Times New Roman"/>
          <w:sz w:val="25"/>
          <w:szCs w:val="25"/>
        </w:rPr>
        <w:t xml:space="preserve">.       </w:t>
      </w:r>
      <w:r w:rsidRPr="00BD4DE5">
        <w:rPr>
          <w:rFonts w:ascii="Times New Roman" w:hAnsi="Times New Roman"/>
          <w:bCs/>
          <w:sz w:val="25"/>
          <w:szCs w:val="25"/>
        </w:rPr>
        <w:t xml:space="preserve">  </w:t>
      </w:r>
    </w:p>
    <w:p w:rsidR="00FD2055" w:rsidRPr="00BD4DE5" w:rsidRDefault="00FD2055" w:rsidP="00FD2055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6"/>
          <w:szCs w:val="6"/>
        </w:rPr>
      </w:pPr>
    </w:p>
    <w:p w:rsidR="00FD2055" w:rsidRDefault="00FD2055" w:rsidP="00FD2055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</w:rPr>
      </w:pPr>
      <w:r w:rsidRPr="00BD4DE5">
        <w:rPr>
          <w:rFonts w:ascii="Times New Roman" w:hAnsi="Times New Roman"/>
          <w:sz w:val="25"/>
          <w:szCs w:val="25"/>
        </w:rPr>
        <w:t>Заключение направлено в адрес Думы Вилючинского городского округа.</w:t>
      </w:r>
    </w:p>
    <w:p w:rsidR="00C35966" w:rsidRPr="00C35966" w:rsidRDefault="00C35966" w:rsidP="00FD2055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6"/>
          <w:szCs w:val="6"/>
        </w:rPr>
      </w:pPr>
    </w:p>
    <w:sectPr w:rsidR="00C35966" w:rsidRPr="00C35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CE"/>
    <w:rsid w:val="00115189"/>
    <w:rsid w:val="00116517"/>
    <w:rsid w:val="002A1ECE"/>
    <w:rsid w:val="002C1D52"/>
    <w:rsid w:val="0031480A"/>
    <w:rsid w:val="003824B5"/>
    <w:rsid w:val="005764FC"/>
    <w:rsid w:val="006B32CD"/>
    <w:rsid w:val="007C2444"/>
    <w:rsid w:val="00B66679"/>
    <w:rsid w:val="00BA730C"/>
    <w:rsid w:val="00BB13F9"/>
    <w:rsid w:val="00BF27AC"/>
    <w:rsid w:val="00C02F72"/>
    <w:rsid w:val="00C20B32"/>
    <w:rsid w:val="00C35966"/>
    <w:rsid w:val="00DD0E02"/>
    <w:rsid w:val="00E93858"/>
    <w:rsid w:val="00EB2CA1"/>
    <w:rsid w:val="00EE1F05"/>
    <w:rsid w:val="00FD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20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D20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D2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D2055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D205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13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13F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20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D20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D2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D2055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D205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13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13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KSP_1</cp:lastModifiedBy>
  <cp:revision>4</cp:revision>
  <cp:lastPrinted>2020-01-12T20:41:00Z</cp:lastPrinted>
  <dcterms:created xsi:type="dcterms:W3CDTF">2020-07-27T05:03:00Z</dcterms:created>
  <dcterms:modified xsi:type="dcterms:W3CDTF">2020-07-27T06:43:00Z</dcterms:modified>
</cp:coreProperties>
</file>