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overflowPunct w:val="true"/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 xml:space="preserve">Вилючинский городской округ </w:t>
      </w:r>
    </w:p>
    <w:p>
      <w:pPr>
        <w:pStyle w:val="Normal"/>
        <w:keepNext w:val="true"/>
        <w:numPr>
          <w:ilvl w:val="0"/>
          <w:numId w:val="0"/>
        </w:numPr>
        <w:overflowPunct w:val="true"/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 xml:space="preserve">закрытое административно-территориальное образование </w:t>
      </w:r>
    </w:p>
    <w:p>
      <w:pPr>
        <w:pStyle w:val="Heading4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Вилючинск Камчатского края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200"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>главы Вилючинского городского округа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27.01.2026                                                                                                       № 56</w:t>
      </w:r>
    </w:p>
    <w:p>
      <w:pPr>
        <w:pStyle w:val="Style2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Вилючинск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44"/>
        <w:gridCol w:w="4200"/>
      </w:tblGrid>
      <w:tr>
        <w:trPr/>
        <w:tc>
          <w:tcPr>
            <w:tcW w:w="5444" w:type="dxa"/>
            <w:tcBorders/>
          </w:tcPr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 назначении публичных слушаний по проекту постановления администрации Вилючинского городского округа «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Об утверждении актуализации схемы</w:t>
            </w:r>
          </w:p>
          <w:p>
            <w:pPr>
              <w:pStyle w:val="ConsPlusNormal"/>
              <w:spacing w:lineRule="auto" w:line="240" w:before="0" w:after="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теплоснабжения Вилючинского городского</w:t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pacing w:lineRule="auto" w:line="240" w:before="0" w:after="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округа на период до 31.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12.2027»</w:t>
            </w:r>
          </w:p>
        </w:tc>
        <w:tc>
          <w:tcPr>
            <w:tcW w:w="4200" w:type="dxa"/>
            <w:tcBorders/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частью 1 статьи 47 Федерального закона от 20.03.2025 № 33–ФЗ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Федеральным законом от 27.07.2010</w:t>
        <w:br/>
        <w:t xml:space="preserve">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</w:t>
      </w:r>
      <w:r>
        <w:rPr>
          <w:rFonts w:ascii="Times New Roman" w:hAnsi="Times New Roman"/>
          <w:sz w:val="28"/>
          <w:szCs w:val="28"/>
        </w:rPr>
        <w:t>Уставом Вилючинского городского округа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1. Провести по инициативе главы Вилючинского городского округа публичные слушания по </w:t>
      </w:r>
      <w:r>
        <w:rPr>
          <w:rFonts w:ascii="Times New Roman" w:hAnsi="Times New Roman"/>
          <w:sz w:val="28"/>
          <w:szCs w:val="28"/>
        </w:rPr>
        <w:t xml:space="preserve">вопросу обсуждения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актуализации схемы теплоснабжения Вилючинского городского округа на период до 31.12.2027</w:t>
        <w:br/>
      </w:r>
      <w:r>
        <w:rPr>
          <w:rFonts w:ascii="Times New Roman" w:hAnsi="Times New Roman"/>
          <w:sz w:val="28"/>
          <w:szCs w:val="28"/>
        </w:rPr>
        <w:t>(далее – публичные слушания), согласно приложению 1 к настоящему постановлению.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 Назначить проведение пуб</w:t>
      </w:r>
      <w:bookmarkStart w:id="0" w:name="_GoBack"/>
      <w:r>
        <w:rPr>
          <w:rFonts w:ascii="Times New Roman" w:hAnsi="Times New Roman"/>
          <w:sz w:val="28"/>
          <w:szCs w:val="28"/>
        </w:rPr>
        <w:t>л</w:t>
      </w:r>
      <w:bookmarkEnd w:id="0"/>
      <w:r>
        <w:rPr>
          <w:rFonts w:ascii="Times New Roman" w:hAnsi="Times New Roman"/>
          <w:sz w:val="28"/>
          <w:szCs w:val="28"/>
        </w:rPr>
        <w:t>ичных слушаний на 19.02.2026</w:t>
        <w:br/>
        <w:t>в 19 часов 00 минут по адресу: Камчатский край, г. Вилючинск, ул. Победы, 1, в актовом зале администрации Вилючинского городского округа</w:t>
        <w:br/>
        <w:t>(2 этаж).</w:t>
      </w:r>
    </w:p>
    <w:p>
      <w:pPr>
        <w:pStyle w:val="Normal"/>
        <w:overflowPunct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Возложить подготовку и проведение публичных слушаний на  управление городского хозяйства администрации Вилючинского городского округа.</w:t>
      </w:r>
    </w:p>
    <w:p>
      <w:pPr>
        <w:pStyle w:val="Normal"/>
        <w:overflowPunct w:val="tru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4. Установить порядок учета предложений по проекту п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остановления администрации Вилючинского городского округа «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актуализации схемы </w:t>
      </w:r>
      <w:r>
        <w:rPr>
          <w:rFonts w:cs="Times New Roman" w:ascii="Times New Roman" w:hAnsi="Times New Roman"/>
          <w:sz w:val="28"/>
          <w:szCs w:val="28"/>
        </w:rPr>
        <w:t xml:space="preserve">теплоснабжения Вилючинского городского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округа на период до 31.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12.2027» и участия граждан в его обсуждении согласно приложению 2 к настоящему постановлению.</w:t>
      </w:r>
    </w:p>
    <w:p>
      <w:pPr>
        <w:pStyle w:val="Normal"/>
        <w:overflowPunct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в периодическом печатном издании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закрытого административно-территориального образования города Вилючинска Камчатского края в информационно-телекоммуникационной сети «Интернет».</w:t>
      </w:r>
    </w:p>
    <w:p>
      <w:pPr>
        <w:pStyle w:val="Normal"/>
        <w:overflowPunct w:val="true"/>
        <w:spacing w:lineRule="auto" w:line="24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Вилючинского 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округа                  </w:t>
        <w:tab/>
        <w:t xml:space="preserve">          </w:t>
        <w:tab/>
        <w:tab/>
        <w:t xml:space="preserve">                          О.С. Бондаренко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4304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04"/>
      </w:tblGrid>
      <w:tr>
        <w:trPr/>
        <w:tc>
          <w:tcPr>
            <w:tcW w:w="4304" w:type="dxa"/>
            <w:tcBorders/>
          </w:tcPr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главы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Вилючинского городского округа</w:t>
            </w:r>
          </w:p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27.01.2026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56</w:t>
            </w:r>
          </w:p>
        </w:tc>
      </w:tr>
    </w:tbl>
    <w:p>
      <w:pPr>
        <w:pStyle w:val="Standard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619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 xml:space="preserve">АКТУАЛИЗАЦИЯ СХЕМЫ ТЕПЛОСНАБЖЕНИЯ  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caps/>
          <w:sz w:val="28"/>
          <w:szCs w:val="28"/>
        </w:rPr>
        <w:t>ВИЛЮЧИНСКОГО ГОРОДСКОГО ОКРУГА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>на период до 31.12.2027 года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5"/>
        <w:gridCol w:w="4785"/>
      </w:tblGrid>
      <w:tr>
        <w:trPr>
          <w:trHeight w:val="1021" w:hRule="atLeast"/>
        </w:trPr>
        <w:tc>
          <w:tcPr>
            <w:tcW w:w="4785" w:type="dxa"/>
            <w:tcBorders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/>
          </w:tcPr>
          <w:p>
            <w:pPr>
              <w:pStyle w:val="Standard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21" w:hRule="atLeast"/>
        </w:trPr>
        <w:tc>
          <w:tcPr>
            <w:tcW w:w="4785" w:type="dxa"/>
            <w:tcBorders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/>
          </w:tcPr>
          <w:p>
            <w:pPr>
              <w:pStyle w:val="Standard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Вилючинск 2025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06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54"/>
        <w:gridCol w:w="7233"/>
        <w:gridCol w:w="1419"/>
      </w:tblGrid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Страница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Основание для проведения актуализации Схемы теплоснабжения Вилючинского городского округа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Существующее положение в сфере теплоснабжения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Распределение тепловой нагрузки между источниками тепловой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Изменение тепловых нагрузок в зонах действия источников тепловой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 по обеспечению технической возможности подключения к системе теплоснабжения объектов капитального строительства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Переключение тепловой нагрузки от котельных на источники с комбинированной выработкой тепловой и электрической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 по переоборудованию котельных в источники комбинированной выработки электрической и тепловой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Строительство, реконструкция тепловых сетей, включая их реконструкцию в связи с исчерпанием установленного и продленного ресурсов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Баланс топливно-энергетических ресурсов для обеспечения теплоснабжения, в том числе расходов аварийных запасов топлива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Финансовые потребности и источники их покрытия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Финансовые потребности для реализации мероприятий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Источники покрытия инвестиций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Внесение изменений в Схему теплоснабжения Вилючинского городского округа в соответствии с поступившими предложениями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</w:tr>
    </w:tbl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Основание для проведения актуализации схемы теплоснабжения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Вилючинского городского округа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Схема теплоснабжения Вилючинского городского округа до 2027 года утверждена постановлением главы администрации городского округа от 20.02.2013 № 255, а также от 18.11.2019 № 1115 (далее – Схема).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Актуализация схемы теплоснабжения производится на основании: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постановления Правительства Российской Федерации от 22.02.2012 </w:t>
        <w:br/>
        <w:t>№ 154 «О требованиях к схемам теплоснабжения, порядку их разработки и утверждения»;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методических рекомендаций по разработке схем теплоснабжения, утвержденных совместным Приказом Министерства энергетики РФ и Министерством регионального развития РФ от 29.12.2012 № 565/667;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постановления администрации Вилючинского городского округа от 11.01.2016 № 2 «Об определении единой теплоснабжающей организации Вилючинского городского округа»;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предложений от АО «Камчатэнергосервис»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по тексту заменить МУП «ГТВС» на АО «Камчатэнергосервис»).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Актуализация Схемы предусматривает определение мероприятий по развитию теплоснабжения городского округа на период до 31.12.2025, а также потребность в финансовых ресурсах и источниках их покрытия.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Существующее положение в сфере теплоснабжения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соответствии со Схемой (Книга 1 «Существующее положение в сфере производства, передачи и потребления тепловой энергии для целей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теплоснабжения») раздел «1. Функциональная структура организации теплоснабжения» принять в следующей редакции:</w:t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Функциональная структура организации теплоснабжения.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Теплоснабжение жилищного и общественного фонда Вилючинского городского округа осуществляет акционерное общество «Камчатэнергосервис» (далее по тексту – АО «Камчатэнергосервис»), образованное в соответствии с решением единственного учредителя ГУП «Камчатэнергоснаб» от 06.06.2011 №1, Гражданским кодексом Российской Федерации, Федеральным законом «Об акционерных обществах», иными нормативными актами Российской Федерации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и является непубличным Обществом, реорганизовано путем присоединения к нему Открытого акционерного общества «Управление производственно-технологической комплектации предприятий жилищно-коммунального хозяйства Камчатского края на основании решений единственного акционера ГУП «Камчатэнергоснаб» № 2 от 26.07.2014 и №14 от 26.07.2014.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Основными направлениями производственной деятельности </w:t>
      </w:r>
      <w:bookmarkStart w:id="1" w:name="_Hlk200528797"/>
      <w:r>
        <w:rPr>
          <w:rFonts w:cs="Times New Roman" w:ascii="Times New Roman" w:hAnsi="Times New Roman"/>
          <w:bCs/>
          <w:sz w:val="28"/>
          <w:szCs w:val="28"/>
        </w:rPr>
        <w:br/>
        <w:t>АО «Камчатэнергосервис»</w:t>
      </w:r>
      <w:bookmarkEnd w:id="1"/>
      <w:r>
        <w:rPr>
          <w:rFonts w:cs="Times New Roman" w:ascii="Times New Roman" w:hAnsi="Times New Roman"/>
          <w:bCs/>
          <w:sz w:val="28"/>
          <w:szCs w:val="28"/>
        </w:rPr>
        <w:t xml:space="preserve"> является производство пара и горячей воды (тепловой энергии) котельными.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эксплуатации АО «Камчатэнергосервис», на основании концессионного соглашения в отношении объектов теплоснабжения на территории Вилючинского городского округа от 25.12.2018, находятся три изолированные территориально разнесенные системы теплоснабжения, образованные на базе котельных с установленной мощностью от 0,7 до 56,0 Гкал/час и суммарной годовой выработкой около 240 тыс. Гкал. Системы теплоснабжения располагаются на территории: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жилого района Приморский;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жилого района Рыбачий;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поселка Сельдевая.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 тепловым сетям, эксплуатируемым АО «Камчатэнергосервис» присоединено 159 жилых зданий общей площадью 537,7 тыс. м</w:t>
      </w:r>
      <w:r>
        <w:rPr>
          <w:rFonts w:cs="Times New Roman" w:ascii="Times New Roman" w:hAnsi="Times New Roman"/>
          <w:bCs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Также на территории Вилючинского городского округа функционируют 9 ведомственных котельных, покрывающих потребности в тепле объектов базы МУП «Ремжилсервис», базы МУП «Автодор», ОАО «Северо-Восточный ремонтный Центр» и Министерства обороны Российской Федерации.</w:t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numPr>
          <w:ilvl w:val="0"/>
          <w:numId w:val="3"/>
        </w:numP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Источники тепловой энергии</w:t>
      </w:r>
    </w:p>
    <w:p>
      <w:pPr>
        <w:pStyle w:val="Standard"/>
        <w:numPr>
          <w:ilvl w:val="1"/>
          <w:numId w:val="3"/>
        </w:numP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 и технические характеристики основного</w:t>
      </w:r>
    </w:p>
    <w:p>
      <w:pPr>
        <w:pStyle w:val="Standard"/>
        <w:spacing w:lineRule="auto" w:line="240" w:before="0" w:after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оборудования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Выработка тепловой энергии для нужд жилищного и общественного фонда АО «Камчатэнергосервис» осуществляется на двух паровых и одной автономной водогрейной котельной.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Паровая котельная, расположенная по адресу: ул. Приморская, д. 19 (котельная «Центральная» жилого района Приморский) суммарной установленной тепловой мощностью 51,2 Гкал/ч осуществляет централизованное теплоснабжение жилого района Приморский.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Паровая котельная, расположенная по адресу: ул. Вилкова д. 5 (котельная «Центральная» жилого района Рыбачий) суммарной установленной тепловой мощностью 56 Гкал/ч осуществляет централизованное теплоснабжение жилого района Рыбачий.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Водогрейная котельная «Автономная» поселка Сельдевая жилого района Приморский суммарной установленной тепловой мощностью 0,7 Гкал/ч осуществляет теплоснабжение одного дома по адресу ул. Владивостокская, д. 4.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13. Базовые целевые показатели систем теплоснабжения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Таблица 13.4 – Базовые целевые показатели эффективности передачи тепловой энергии в зоне действия котельной жилого района Приморский.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Целевой 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Потери тепловой энергии, в т.ч.: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14 226,9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14 111,1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то же в % от отпуска тепловой энергии с коллекторов источника тепловой 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14,1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Потери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29 291,5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29 393,9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Потери теплоносителя в % от циркуляции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Удельный расход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тонн/Гкал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Удельный расход электроэнергии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кВт*ч/Гкал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Фактический радиус теплоснабжения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2,3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Эффективный радиус теплоснабжения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7,1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Температура теплоносителя в подающем теплопроводе, принятая для проектирования тепловых сетей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Разность температур в подающей и обратной тепломагистрали</w:t>
              <w:br/>
              <w:t>при расчетной температуре наружного воздуха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нормативная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фактическая, в период достигнутого максимума тепловой</w:t>
              <w:br/>
              <w:t>нагрузки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13,6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13,5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Средневзвешенная плотность тепловой нагрузки в зоне действия</w:t>
              <w:br/>
              <w:t>источника тепловой 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Гкал/ч/км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Удельная материальная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137,5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137,5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магистральных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122,9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122,9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внутриквартальных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14,6</w:t>
            </w:r>
          </w:p>
        </w:tc>
      </w:tr>
    </w:tbl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Таблица 13.5 – Базовые целевые показатели эффективности передачи тепловой энергии в зоне действия котельной жилого района Рыбачий.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Целевой 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Потери тепловой энергии, в т.ч.: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10 636,3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10 402,1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то же в % от отпуска тепловой энергии с коллекторов источника тепловой 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15,6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15,1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Потери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18 270,7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18 336,2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Потери теплоносителя в % от циркуляции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Удельный расход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тонн/Гкал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Удельный расход электроэнергии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кВт*ч/Гкал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Фактический радиус теплоснабжения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4,0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Эффективный радиус теплоснабжения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8,7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8,7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Температура теплоносителя в подающем теплопроводе, принятая для проектирования тепловых сетей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110/95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110/95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Разность температур в подающей и обратной тепломагистрали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при расчетной температуре наружного воздуха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нормативная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40/25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40/25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фактическая, в период достигнутого максимума тепловой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нагрузки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25,5/14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27/14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Средневзвешенная плотность тепловой нагрузки в зоне действия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источника тепловой 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Гкал/ч/км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32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Удельная материальная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182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магистральных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60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внутриквартальных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122</w:t>
            </w:r>
          </w:p>
        </w:tc>
      </w:tr>
    </w:tbl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</w:rPr>
        <w:t>15. Приложение А.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А.2. Характеристики участков тепловых сетей АО «Камчатэнергосервис».</w:t>
      </w:r>
    </w:p>
    <w:p>
      <w:pPr>
        <w:pStyle w:val="Normal"/>
        <w:widowControl/>
        <w:suppressAutoHyphens w:val="false"/>
        <w:spacing w:lineRule="auto" w:line="240" w:before="0" w:after="0"/>
        <w:ind w:firstLine="709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 xml:space="preserve">Тепловые сети жилого района Приморский проложены в двухтрубном исполнении подземным способом в непроходных каналах и надземным способом. </w:t>
      </w:r>
    </w:p>
    <w:p>
      <w:pPr>
        <w:pStyle w:val="Normal"/>
        <w:widowControl/>
        <w:suppressAutoHyphens w:val="false"/>
        <w:spacing w:lineRule="auto" w:line="240" w:before="0" w:after="0"/>
        <w:ind w:firstLine="709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Магистральные участки тепловой сети жилого района Приморский от котельной до ТК-115 (включая ТК-61, ТК-62, ТК-63, ТК-64, ТЕ-67, ТК-68, ТК-74, ТК-75, ТК-24, ТК-100, ТК-105, ТК-89, ТК-86, ТК-86А, ТК-84А, ТК-84Б, ТК-84, ТК-107, ТК-108, ТК-117, ТК-90, ТК-111, ТК-116, ТК-115), а также от котельной до ТК-40Б (включая ТК-3, ТК-15, ТК-15А, ТК-17, ТК-27, ТК-29, ТК-30, ТК-38, ТК-38А, ТК-39, ТК-40, ТК-40Б) являются тупиковыми, поскольку не имеют кольцевой части (П18.3.5. Приложения № 18 к Методическим указаниям по разработке схем теплоснабжения, утвержденных Приказом Министерства энергетики РФ от 05.03.2019 № 212).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 w:cs="Times New Roman"/>
          <w:kern w:val="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0"/>
          <w:szCs w:val="20"/>
        </w:rPr>
        <w:t>Таблица А.1 – Характеристики участков тепловых сетей котельной жилого района Приморский</w:t>
      </w:r>
    </w:p>
    <w:tbl>
      <w:tblPr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20"/>
        <w:gridCol w:w="1585"/>
        <w:gridCol w:w="1487"/>
        <w:gridCol w:w="1549"/>
        <w:gridCol w:w="1497"/>
        <w:gridCol w:w="1489"/>
      </w:tblGrid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Участок тепловой сети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Способ</w:t>
              <w:br/>
              <w:t>прокладки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Год ввода</w:t>
              <w:br/>
              <w:t>в эксплуатацию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Наружный</w:t>
              <w:br/>
              <w:t>диаметр</w:t>
              <w:br/>
              <w:t>трубопроводов,</w:t>
              <w:br/>
              <w:t>мм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Длина</w:t>
              <w:br/>
              <w:t>трубопровода в</w:t>
              <w:br/>
              <w:t>одно</w:t>
              <w:br/>
              <w:t>трубном</w:t>
              <w:br/>
              <w:t>исчислении, 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Материальная</w:t>
              <w:br/>
              <w:t>характеристика,</w:t>
              <w:br/>
              <w:t>кв. м</w:t>
            </w:r>
          </w:p>
        </w:tc>
      </w:tr>
      <w:tr>
        <w:trPr/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Участки тепловой сети от котельной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котельная-ТК3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69,55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котельная-ТК3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ТК15А-ТК17Б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55,38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ТК15А-ТК15Б(ГИБДД)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ТК1-котельная (ТП№1)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ТК40А-ТК41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37,23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ТК-40 – ТК-40Б до Мира 21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33,549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 ТП № 2 – ТК-1Б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ТК-3 – ТК-15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91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ТК-15 – ТК-14А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14,25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ТК40-ТК40Б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29,733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ТК- 40Б – ТК-60Б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81,03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ТК60Б-ТК115А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ТК40-ТК40А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7,884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ТК42-ТК43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33,288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ТК41А-ТК56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10,812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ТК57-ТК58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 58-ТК59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17,712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ТК44-ТК52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ТК44-ТК45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27,03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ТК46-Мира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ТК46-Мира 14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ТК50-ТК51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ТК45-ТК46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Мира16-ТК51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8-ТК52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10,176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8-Мира7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5,518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Мира10–ТК44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0,356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10-Мира 18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4-ТК41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ТК50–Мира 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ТК- 37-школа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ТК-37- школа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1,52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ТК18-Приморская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ТК18А-Приморская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19-Приморская 11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23А-Приморская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2,592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23-Приморская 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1,824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27-ЦБС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3,363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21-Приморская 14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20-Приморская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ТК23-ТК23А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12,96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ТК22-ТК21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30,66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ТК21-ТК20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12-Приморская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7-Приморская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4,094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ТК35-Кронштадтская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9,79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ТК30-ТК31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24,09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ТК36-ТК37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ТК38А-ТК39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ТК38-ТК38А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ТК39-ТК40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34,125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ТК39-ТК40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28,665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17-ТК17А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24,09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17Б-ТК27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127,8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4- Приморская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ТК18А-Приморская 10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1,424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ТК17-ТК17Б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17А-ТК18А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27,93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18-ТК17А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6,57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19-ТК18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19,71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20-ТК19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28,47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ТК30-ТК38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31-ТК32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32-ТК33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16,644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33-ТК34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1-Приморская 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1,672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ТК23-Приморская 16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3,916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ТК22-ТК23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ТК34-ТК35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9,54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27-ТК29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85,2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29-ТК30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85,2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35-ТК36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11,13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12–ТК37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12–ТК36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3,204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2–ТК35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0,304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3–ТК34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2,964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4–ТК33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4,45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5–ТК32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6,942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6–ТК31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9–ТК31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7 – ТК38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0,356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8–ТК30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0,456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8–ТК29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0,912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41-ТК41А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11,13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42-ТК55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11,016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ТК41-ТК42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11,448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ТК57-ТК56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8,268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ТК43-ТК44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ТК50-ТК46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12,96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ТК45-Мира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1,246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ТК45-Мира 11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1,246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ТК52-Мира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2,314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ТК53-Мира 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ТК55-Мира 17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ТК56-Мира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3,648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ТК57-Мира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41А-Мира 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42-Мира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ТК27-Приморская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1,424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ТК30-Кронштадтская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ТК59–ДЮСШ-1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0,456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8-ЦРТДЮ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4,45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4-Сад №3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9,88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3,952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4,864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6,23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5,696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5,696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ТК36-музшкола №1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0,114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ТК61-ТК24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80,088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ТК2-ТК61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96,278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ТК1А-ТК1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82,55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ТК1А-ТК2А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ТК2-ТК2А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53,958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ТК1А-ТК-1Б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84,64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ТК61-ТК62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65,65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ТК62-ТК63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ТК63-ТК64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85,8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ТК114-ТК115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91,584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97-Спортивная 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21,66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97-ТК115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29,256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ТК115-ТК116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109,5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ТК116-ТК117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42,486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ТК117-ТК90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90-ТК111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111-ТК112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17,49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ТК118-ТК119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4,45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ТК119-Спортивная 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6,996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ТК118-Спортивная 1А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ТК114-Спортивная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8,268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ТК98-Спортивная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Спортивная 7- Спортивная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ТК98-Спортивная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ТК112-Спортивная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ТК115А-ТК115Б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ТК98-ТК115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13,14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ТК68-ТК67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ТК67-ТК64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94,25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ТК67-Победы 20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29,808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ТК64-Победы 18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5,832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ТК64-ТК65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21,024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ТК65-ТК11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34,026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ТК11-ТК11А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33,39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ТК11А-ТК66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6,84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ТК11-Победы 17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ТК66-Победы 21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0,304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ТК65-Победы 16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4,408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ТК63-ТК6А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3,816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ТК6-Победы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5,624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ТК6А-Победы 14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 – ТК-10 – Победы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19,418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ТК4-Победы 10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5,724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ТК7-Победы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4,536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ТК26-Победы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ТК99А-дет.сад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2,937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ТК99А-Победы 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2,492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ТК24-ТК100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223,224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ТК101-ТК102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14,31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ТК102-ТК103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9,54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ТК104-администрация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ТК104-гараж адм-ции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ТК103-ТК104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6,118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ТК103-ТК14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33,072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ТК13-ТК14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12,312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ТК14-Победы 27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6,052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ТК99-ТК100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ТК99-ТК101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14,31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ТК104-Победы 28 (Оветвление)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4,806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ТК99-Победы 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ТК74-ТК75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52,152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9-Центральная 16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ТК68А-Центральная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3,204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ТК14-Победы 26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5,429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ТК13-Победы 25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25-Победы 23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5,696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ТК25-Победы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ТК7-Победы 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4,272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5-Победы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2,314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ТК6-ТК6А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ТК25-ТК24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15,33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10-ТК62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ТК5-ТК4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9,256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ТК5-Победы 11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0,534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ТК4-Победы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ТК26-Победы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6,23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ТК11А-Победы 19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1,246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ТК100-ТК105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253,896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ТК91А-ТК107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47,712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ТК107–мкр. Центральный 33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ТК107-ТК84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25,56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ТК82А-ТК79А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15,33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ТК82А-мкр. Центральный 26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1,424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ТК82-ТК83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30,66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ТК82А-ТК82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13,359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ТК83А-ТК84Б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49,056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ТК78-ТК79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30,66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ТК74-ТК68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145,6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ТК79А-ТК79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18,834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ТК74-ТК9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25,27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ТК9-мкр. Центральный 18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9,612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ТК74-мкр. Центральный 17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ТК75-мкр. Центральный 19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ТК75-мкр. Центральный 21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2,047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ТК77-мкр. Центральный 23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ТК78-мкр. Центральный 20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ТК79-мкр. Центральный 22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1,602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ТК79А-мкр. Центральный 24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ТК82-мкр. Центральный 28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10,368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ТК83А-мкр. Центральный 30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ТК84-мкр. Центральный 31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1,424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ТК83-ТК83А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ТК84-ТК86А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106,5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ТК86-ТК86А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72,42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ТК87-школа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1,728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ТК68-ТК68А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28,032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ТК68А-мкр. Центральный 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ТК68А-ТК69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39,42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ТК69-ТК70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32,436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ТК70-ТК71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11,13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ТК71-ТК71А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12,96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ТК71А-мкр. Центральный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ТК69,70-мкр. Центральный 11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ТК71,71А-мкр. Центральный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ТК71-мкр. Центральный 10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ТК72А-ТК72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2,225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ТК72-мкр. Центральный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0,534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ТК88Б-ТК88А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2,544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ТК88-ТК89А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34,98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ТК72А-ТК88Б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13,392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ТК89А-ТК89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7,632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ТК89-ТК86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42,6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ТК89-ТК105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88,608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ТК70-мкр. Центральный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ТК78-ТК77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ТК88А-88В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4,77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ТК88Б-гаражи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ТК88А-РКЦ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0,57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ТК88-ТК88В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11,13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ТК91А-ТК117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ТК91А-ТК108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ТК91-ТК92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22,26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ТК91-мкр. Северный 10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ТК92-мкр. Северный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1,602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ТК92-ТК93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ТК93-мкр. Северный 14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1,602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ТК93-ТК94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ТК94-мкр. Северный 16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ТК94-ТК95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ТК95-ТК95А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50,88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ТК95А-мкр. Северный 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95А-мкр. Северный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ТК93-ТК110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56,784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ТК110-ТК111 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21,294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ТК101-Победы 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2,314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ТК7-Победы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5,586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ТК7-Победы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4,968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ТК11А-Аптека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11,286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ТК90-ТК118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ТК47-ТК47А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3,42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ТК86А-ТК86Б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ТК86Б-ГУС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13,35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ТК116-с. ДЮСШ №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25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0,445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3,458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17,172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5,4</w:t>
            </w:r>
          </w:p>
        </w:tc>
      </w:tr>
    </w:tbl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Распределение тепловой нагрузки</w:t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между источниками тепловой энергии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Схемой (Книга 1 «Существующее положение в сфере производства, передачи и потребления тепловой энергии для целей теплоснабжения») в таблице 1 приведены значения потребления тепловой энергии при расчетных температурах наружного воздуха в зонах действия источников тепловой энергии и параметры располагаемой тепловой мощности источников.</w:t>
      </w:r>
    </w:p>
    <w:p>
      <w:pPr>
        <w:pStyle w:val="Standard"/>
        <w:spacing w:lineRule="auto" w:line="240" w:before="0"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предполагаемых вводимых строительных площадей, тепловые нагрузки по видам потребления до 31.12.2027 приведен в таблице 1.</w:t>
      </w:r>
    </w:p>
    <w:p>
      <w:pPr>
        <w:pStyle w:val="Standard"/>
        <w:spacing w:lineRule="auto" w:line="240" w:before="0" w:after="0"/>
        <w:ind w:firstLine="37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37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</w:t>
      </w:r>
    </w:p>
    <w:tbl>
      <w:tblPr>
        <w:tblW w:w="97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2694"/>
        <w:gridCol w:w="1844"/>
        <w:gridCol w:w="1986"/>
        <w:gridCol w:w="1670"/>
        <w:gridCol w:w="967"/>
      </w:tblGrid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Установленная тепловая мощность, Гкал/час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Расчетная присоединенная тепловая нагрузка (при средней нагрузке ГВС) Гкал/час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Предполагаемая к присоединению тепловая нагрузка до 31.12.2027 Гкал/час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Дефицит (-)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Избыток (+)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535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ж.р. Приморский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50,627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51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ж.р. Рыбачий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37,221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10,279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numPr>
                <w:ilvl w:val="0"/>
                <w:numId w:val="9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пос. Сельдевая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0,631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39" w:hRule="atLeast"/>
        </w:trPr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107,9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88,479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10,279</w:t>
            </w:r>
          </w:p>
        </w:tc>
      </w:tr>
    </w:tbl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374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Распределение тепловых нагрузок между источниками тепловой энергии по данным теплоснабжения на период до 31.12.2027 приведено в таблице 2.</w:t>
      </w:r>
    </w:p>
    <w:p>
      <w:pPr>
        <w:pStyle w:val="Standard"/>
        <w:tabs>
          <w:tab w:val="clear" w:pos="708"/>
          <w:tab w:val="left" w:pos="9003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9003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tbl>
      <w:tblPr>
        <w:tblW w:w="98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2698"/>
        <w:gridCol w:w="1700"/>
        <w:gridCol w:w="1278"/>
        <w:gridCol w:w="1247"/>
        <w:gridCol w:w="1271"/>
        <w:gridCol w:w="1137"/>
      </w:tblGrid>
      <w:tr>
        <w:trPr>
          <w:trHeight w:val="1641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источника тепла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района проекта планировки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Установленная тепловая мощность, Гкал/час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Расчетная присоединенная тепловая нагрузка, Гкал/час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Предполагаемый прирост тепловой нагрузки до 31.12.27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Переключаемая тепловая нагрузка до 31.12.27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Центральная котельная ж.р. Приморский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ж.р. Приморский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50,627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Центральная котельная ж.р. Рыбачий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ж.р. Рыбачий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37,221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Автономная котельная пос. Сельдевая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пос. Сельдевая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0,631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494" w:hRule="atLeast"/>
        </w:trPr>
        <w:tc>
          <w:tcPr>
            <w:tcW w:w="49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107,9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88,479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Standard"/>
        <w:spacing w:lineRule="auto" w:line="240" w:before="0" w:after="0"/>
        <w:ind w:firstLine="3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4. Изменение тепловых нагрузок в каждой зоне действия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источников тепловой энергии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Изменения тепловых нагрузок в каждой зоне действия источников тепловой энергии на период до 31.12.2027 г. приведены в таблице 3.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</w:t>
      </w:r>
    </w:p>
    <w:tbl>
      <w:tblPr>
        <w:tblW w:w="98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1699"/>
        <w:gridCol w:w="1702"/>
        <w:gridCol w:w="1699"/>
        <w:gridCol w:w="1558"/>
        <w:gridCol w:w="1702"/>
        <w:gridCol w:w="953"/>
      </w:tblGrid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Зона действия источника тепловой энергии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Прирост тепловых нагрузок по утвержденной Схеме с 2014 г. по 31.12.2025 г., Гкал/ч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Прирост тепловых нагрузок по актуализации Схемы до 31.12.2027 г., Гкал/ч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Прирост тепловых нагрузок за счет переключения до </w:t>
              <w:br/>
              <w:t>31.12.2027 г., Гкал/ч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Изменения тепловых нагрузок, Гкал/ч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98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Зоны действующих источников тепловой энергии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котельная ж.р. Приморский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район Приморский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2,34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2,34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котельная ж.р. Рыбачий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район Рыбачий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sz w:val="24"/>
                <w:szCs w:val="24"/>
              </w:rPr>
              <w:t>1.3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 котельная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 Сельдевая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Итого: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3,980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3,980</w:t>
            </w:r>
          </w:p>
        </w:tc>
      </w:tr>
    </w:tbl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Баланс тепловых нагрузок по источникам тепловой энергии приведен в таблице 4.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</w:t>
      </w:r>
    </w:p>
    <w:tbl>
      <w:tblPr>
        <w:tblW w:w="976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6"/>
        <w:gridCol w:w="1842"/>
        <w:gridCol w:w="1388"/>
        <w:gridCol w:w="1559"/>
        <w:gridCol w:w="1703"/>
        <w:gridCol w:w="1700"/>
        <w:gridCol w:w="1006"/>
      </w:tblGrid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Установленная тепловая мощность, Гкал/ч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Расчетная присоединенная тепловая нагрузка на 2014 год, Гкал/ч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Прирост тепловых нагрузок в соответствии с табл. 2, Гкал/ч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Предполагаемая общая тепловая нагрузка потребителей в 2027 году, Гкал/ч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Избыток (+)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Дефицит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(-)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1106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котельная ж.р. Приморский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43,489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50,627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котельная ж.р. Рыбачий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37,607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37,221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10,279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 котельная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0,631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0,631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строящимся источникам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ИТОГО: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107,9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81,727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88,479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10,279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Выработка тепловой энергии по годам приведена в таблице 5.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5</w:t>
      </w:r>
    </w:p>
    <w:tbl>
      <w:tblPr>
        <w:tblW w:w="9756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8"/>
        <w:gridCol w:w="1876"/>
        <w:gridCol w:w="992"/>
        <w:gridCol w:w="1135"/>
        <w:gridCol w:w="1136"/>
        <w:gridCol w:w="990"/>
        <w:gridCol w:w="850"/>
        <w:gridCol w:w="850"/>
        <w:gridCol w:w="1138"/>
        <w:gridCol w:w="10"/>
      </w:tblGrid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Наименование источника</w:t>
            </w:r>
          </w:p>
        </w:tc>
        <w:tc>
          <w:tcPr>
            <w:tcW w:w="71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Выработка тепловой энергии, тыс.Гкал</w:t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8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2025-2027 гг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Центральная котельная ж.р. Приморский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112,108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112,474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109,135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107,632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107,493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106,247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106,257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Центральная котельная ж.р. Рыбачий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78,003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77,263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76,503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75,873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74,734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75,600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75,600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Автономная котельная Сельдевая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1,258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1,184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0,960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0,946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0,908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0,977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0,977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482" w:hRule="atLeast"/>
        </w:trPr>
        <w:tc>
          <w:tcPr>
            <w:tcW w:w="2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192,6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191,369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190,921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186,598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184,451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182,824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182,824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Зоны действия источников тепловой энергии на период до 31.12.2027 не изменяются и соответствуют зонам действия источников тепловой энергии определенными в гл.4 Книги 1 Схемы.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5. Мероприятия по обеспечению технической возможности подключения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 системам теплоснабжения объектов капитального строительства</w:t>
      </w:r>
    </w:p>
    <w:p>
      <w:pPr>
        <w:pStyle w:val="ListParagraph"/>
        <w:ind w:firstLine="709" w:left="0"/>
        <w:jc w:val="both"/>
        <w:rPr>
          <w:sz w:val="28"/>
        </w:rPr>
      </w:pPr>
      <w:r>
        <w:rPr>
          <w:sz w:val="28"/>
        </w:rPr>
        <w:t>В связи с отсутствием резерва располагаемой мощности на центральной котельной жилого района «Приморский», не представляется возможным подключение комплекса многоквартирных домов в жилом районе Приморский к системе теплоснабжения.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Ведутся работы по строительству модульной электрокотельной и по подключению к инженерным сетям теплоснабжения, водоснабжения и электроснабжения жилого микрорайона «Северный-2» г. Вилючинск в 2025 году.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6. Переключение тепловой нагрузки от котельных на источники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 комбинированной выработкой тепловой и электрической энергии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Внесение изменений в Схему, в связи с её актуализацией на период до 31.12.2027 г. в части переключения тепловой нагрузки от котельных на источники с комбинированной выработкой тепловой и электрической энергии - не требуется.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7. Мероприятия по переоборудованию котельных в источники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комбинированной выработки электрической и тепловой энергии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Мероприятия по развитию когенерационного принципа выработки электрической и тепловой энергии актуализацией Схемы не рассматриваются.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aps/>
          <w:sz w:val="28"/>
          <w:szCs w:val="24"/>
          <w:shd w:fill="00FF00" w:val="clear"/>
        </w:rPr>
      </w:pPr>
      <w:r>
        <w:rPr>
          <w:rFonts w:cs="Times New Roman" w:ascii="Times New Roman" w:hAnsi="Times New Roman"/>
          <w:caps/>
          <w:sz w:val="28"/>
          <w:szCs w:val="24"/>
          <w:shd w:fill="00FF00" w:val="clear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8. Строительство и реконструкция тепловых сетей, включая их реконструкцию в связи с исчерпанием установленного и продленного ресурсов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Актуализация Схемы на период до 31.12.2027 г. основывается на ранее обозначенных разделах и учитывает методику расчета, приведенную в Схеме. Данным разделом вносятся изменения в Книгу 7 Схемы «Предложения по строительству и реконструкции тепловых сетей и сооружений на них».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Предложения по новому строительству и реконструкции тепловых сетей состоят из следующих направлений: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капитальный ремонт тепловых сетей, подлежащих замене в связи с исчерпанием эксплуатационного ресурса.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  <w:shd w:fill="FFFF00" w:val="clear"/>
        </w:rPr>
      </w:pPr>
      <w:r>
        <w:rPr>
          <w:rFonts w:cs="Times New Roman" w:ascii="Times New Roman" w:hAnsi="Times New Roman"/>
          <w:sz w:val="28"/>
          <w:szCs w:val="24"/>
          <w:shd w:fill="FFFF00" w:val="clear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Капитальный ремонт тепловых сетей, подлежащих замене в связи с исчерпанием эксплуатационного ресурса до конца 2025 года, приведена в таблице 6.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6</w:t>
      </w:r>
    </w:p>
    <w:tbl>
      <w:tblPr>
        <w:tblW w:w="97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90"/>
        <w:gridCol w:w="1842"/>
        <w:gridCol w:w="2318"/>
        <w:gridCol w:w="2118"/>
        <w:gridCol w:w="1555"/>
        <w:gridCol w:w="1041"/>
      </w:tblGrid>
      <w:tr>
        <w:trPr/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№№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Начало участка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Конец участка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Источник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Условный диаметр Д (мм)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Длина, м</w:t>
            </w:r>
          </w:p>
        </w:tc>
      </w:tr>
      <w:tr>
        <w:trPr/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6</w:t>
            </w:r>
          </w:p>
        </w:tc>
      </w:tr>
      <w:tr>
        <w:trPr/>
        <w:tc>
          <w:tcPr>
            <w:tcW w:w="97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2" w:name="_Hlk169859795"/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Капитальный ремонт </w:t>
            </w:r>
            <w:bookmarkEnd w:id="2"/>
            <w:r>
              <w:rPr>
                <w:rFonts w:cs="Times New Roman" w:ascii="Times New Roman" w:hAnsi="Times New Roman"/>
                <w:sz w:val="20"/>
                <w:szCs w:val="24"/>
              </w:rPr>
              <w:t>ветхих инженерных сетей теплоснабжения</w:t>
            </w:r>
          </w:p>
        </w:tc>
      </w:tr>
      <w:tr>
        <w:trPr>
          <w:trHeight w:val="651" w:hRule="atLeast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11"/>
              <w:spacing w:lineRule="auto" w:line="240" w:before="0" w:after="0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ТК-86А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ТК-86Б, жилой район Приморский, ул. Строительная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Котельная ж.р. Приморский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325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70</w:t>
            </w:r>
          </w:p>
        </w:tc>
      </w:tr>
      <w:tr>
        <w:trPr>
          <w:trHeight w:val="661" w:hRule="atLeast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11"/>
              <w:spacing w:lineRule="auto" w:line="240" w:before="0" w:after="0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ТК-15А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ТК-17Б, жилой район Приморский, ул. Приморская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Котельная ж.р. Приморский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89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40</w:t>
            </w:r>
          </w:p>
        </w:tc>
      </w:tr>
      <w:tr>
        <w:trPr>
          <w:trHeight w:val="661" w:hRule="atLeast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11"/>
              <w:spacing w:lineRule="auto" w:line="240" w:before="0" w:after="0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ТК-44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Т.А., жилой район Приморский, ул. Мира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Котельная ж.р. Приморский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159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25</w:t>
            </w:r>
          </w:p>
        </w:tc>
      </w:tr>
    </w:tbl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Финансовое обеспечение на период до конца 2025 года приведено в таблице 7.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тыс. руб.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7</w:t>
      </w:r>
    </w:p>
    <w:tbl>
      <w:tblPr>
        <w:tblW w:w="973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9"/>
        <w:gridCol w:w="3568"/>
        <w:gridCol w:w="2022"/>
        <w:gridCol w:w="1856"/>
        <w:gridCol w:w="1750"/>
      </w:tblGrid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проектов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ж.р. Приморский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ж.р. Рыбачий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 котельная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 Сельдевая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1991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Новое строительство объектов генерации тепловой энергии и участков тепловых сетей для обеспечения перспективных приростов тепловых нагрузок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тепловых сетей, с увеличением диаметров трубопроводов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Прокладка тепловых сетей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тепловых сетей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18 140,89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593" w:hRule="atLeast"/>
        </w:trPr>
        <w:tc>
          <w:tcPr>
            <w:tcW w:w="4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ИТОГО:</w:t>
            </w:r>
          </w:p>
        </w:tc>
        <w:tc>
          <w:tcPr>
            <w:tcW w:w="5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18 140,89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9. Баланс топливно-энергетических ресурсов для обеспечения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теплоснабжения, в том числе расходов аварийных запасов топлива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Актуализацией Схемы не предусматривается изменение сценария развития системы теплоснабжения Вилючинского городского округа до 31.12.2027 г.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Основное топливо для котельных ж.р. Приморский и ж.р. Рыбачий – мазут М-100 со средней теплотворной способностью 9778 ккал/кг.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настоящем разделе приведены показатели топливообеспечения для теплоснабжения потребителей на период до конца 2027 года. В качестве показателей приведены: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установленные перспективные объемы выработки тепловой энергии в течение 2027 года на каждой котельной;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установленные объемы потребления топливных ресурсов (основного и аварийного видов топлива) для обеспечения выработки тепловой энергии на каждом источнике;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величины удельного расхода топлива на выработку тепловой энергии.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таблицах № 8-10 приведены показатели баланса топливно-энергетических ресурсов котельных ж.р. Приморский, ж.р. Рыбачий и автономной котельной п. Сельдевая на 2025 год.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cs="Times New Roman" w:ascii="Times New Roman" w:hAnsi="Times New Roman"/>
          <w:sz w:val="28"/>
          <w:szCs w:val="24"/>
          <w:highlight w:val="yellow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Котельная ж.р. Приморский, ул. Приморская, 19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8</w:t>
      </w:r>
    </w:p>
    <w:tbl>
      <w:tblPr>
        <w:tblW w:w="97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3"/>
        <w:gridCol w:w="3780"/>
        <w:gridCol w:w="1744"/>
        <w:gridCol w:w="1743"/>
        <w:gridCol w:w="1515"/>
      </w:tblGrid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Единицы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69" w:hRule="atLeast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Выработка тепловой энергии (всего), в том 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106247,143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85424,211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14111,106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6711,826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Расход основного топлива - мазут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 т.у.т.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18,272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Удельный расход топлива на выработку тепловой 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кг.у.т/Гкал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183,165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Котельная ж.р. Рыбачий, ул. Вилкова, 5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9</w:t>
      </w:r>
    </w:p>
    <w:tbl>
      <w:tblPr>
        <w:tblW w:w="97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3"/>
        <w:gridCol w:w="3780"/>
        <w:gridCol w:w="1744"/>
        <w:gridCol w:w="1743"/>
        <w:gridCol w:w="1515"/>
      </w:tblGrid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Единицы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69" w:hRule="atLeast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Выработка тепловой энергии (всего), в том 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75600,642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58165,658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10402,059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7032,925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Расход основного топлива - мазут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 т.у.т.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11,868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Удельный расход топлива на выработку тепловой 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кг.у.т/Гкал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172,530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Автономная котельная п. Сельдевая, ул. Владивостокская, 4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10</w:t>
      </w:r>
    </w:p>
    <w:tbl>
      <w:tblPr>
        <w:tblW w:w="97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3"/>
        <w:gridCol w:w="3780"/>
        <w:gridCol w:w="1744"/>
        <w:gridCol w:w="1743"/>
        <w:gridCol w:w="1515"/>
      </w:tblGrid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Единицы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69" w:hRule="atLeast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Выработка тепловой энергии (всего), в том 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976,728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819,156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157,570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Расход основного топлива - дизель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 т.у.т.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0,184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Удельный расход топлива на выработку тепловой 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кг.у.т/Гкал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188,054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Поставка топлива осуществляется по заключенным договорам из мазутных резервуаров ТЭЦ-2.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Общая поставка мазута для выработки тепловой на котельных ж.р. Приморский, ж.р. Рыбачий в ОЗП 2024-2025 гг. составляет </w:t>
      </w:r>
      <w:bookmarkStart w:id="3" w:name="_Hlk199840248"/>
      <w:r>
        <w:rPr>
          <w:rFonts w:cs="Times New Roman" w:ascii="Times New Roman" w:hAnsi="Times New Roman"/>
          <w:sz w:val="28"/>
          <w:szCs w:val="24"/>
        </w:rPr>
        <w:t>34,950</w:t>
      </w:r>
      <w:bookmarkEnd w:id="3"/>
      <w:r>
        <w:rPr>
          <w:rFonts w:cs="Times New Roman" w:ascii="Times New Roman" w:hAnsi="Times New Roman"/>
          <w:sz w:val="28"/>
          <w:szCs w:val="24"/>
        </w:rPr>
        <w:t xml:space="preserve"> тыс. т.у.т.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ab/>
        <w:t>Прогнозируемый расход топливных ресурсов на 2025 год по источникам тепловой энергии и видам топлива приведен в таблице 11.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Standard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тыс. т.у.т.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11</w:t>
      </w:r>
    </w:p>
    <w:tbl>
      <w:tblPr>
        <w:tblW w:w="9630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0"/>
        <w:gridCol w:w="3150"/>
        <w:gridCol w:w="1140"/>
        <w:gridCol w:w="1052"/>
        <w:gridCol w:w="1171"/>
        <w:gridCol w:w="1497"/>
        <w:gridCol w:w="1079"/>
      </w:tblGrid>
      <w:tr>
        <w:trPr/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 топлива, тыс. т.у.т.</w:t>
            </w:r>
          </w:p>
        </w:tc>
        <w:tc>
          <w:tcPr>
            <w:tcW w:w="47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дизельное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мазут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ж.р. Приморский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19,756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ж.р. Рыбачий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12,750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 котельная п. Сельдевая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0,182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0,182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32,506</w:t>
            </w:r>
          </w:p>
        </w:tc>
      </w:tr>
    </w:tbl>
    <w:p>
      <w:pPr>
        <w:pStyle w:val="Standard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10. Финансовые потребности и источники их покрытия</w:t>
      </w:r>
    </w:p>
    <w:p>
      <w:pPr>
        <w:pStyle w:val="Standard"/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Книге 10 «Обоснование инвестиций в строительство, реконструкцию и техническое перевооружение» Схемы приведены обосновывающие предложения по развитию теплоснабжения города и подключению дополнительных потребителей и строящихся объектов. В обосновывающие материалы включены: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нормативно-правовая база для проведения расчетов;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применение индекс-дефляторов;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ставки дисконтирования.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результате получена оценка экономической эффективности вариантов развития теплоснабжения города и определены прогнозный рост тарифов на тепловую энергию и расчеты ценовых последствий для потребителей при реализации программ строительства, реконструкции и технического перевооружения систем теплоснабжения. Актуализацией Схемы внесены изменения по распределению подключения потребителей по зонам теплоснабжения. Основываясь на расчетах и выводах, приведенных в Схеме, используя показатели, индексы-дефляторы, заложенные в Схему, в настоящем разделе приведены: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финансовые потребности, необходимые для реализации мероприятий по развитию теплоснабжения города до 31.12.2027 г.;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соответствие финансовых последствий результатам и параметрам, заложенным в Схеме;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источники покрытия инвестиций.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10.1. Финансовые потребности для реализации мероприятий</w:t>
      </w:r>
    </w:p>
    <w:p>
      <w:pPr>
        <w:pStyle w:val="Standard"/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Финансовые потребности по развитию источников тепловой энергии на период до 31.12.2025 включают в себя затраты на выполнение следующих мероприятий:</w:t>
      </w:r>
    </w:p>
    <w:p>
      <w:pPr>
        <w:pStyle w:val="Standard"/>
        <w:tabs>
          <w:tab w:val="clear" w:pos="708"/>
          <w:tab w:val="left" w:pos="993" w:leader="none"/>
        </w:tabs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замена (ремонт) теплообменников ЦАТП №1,2,3 и системы автоматического регулирования и контроля (котельная «Центральная» ж.р. Рыбачий);</w:t>
      </w:r>
    </w:p>
    <w:p>
      <w:pPr>
        <w:pStyle w:val="Standard"/>
        <w:tabs>
          <w:tab w:val="clear" w:pos="708"/>
          <w:tab w:val="left" w:pos="993" w:leader="none"/>
        </w:tabs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проектирование и ремонт здания котельной, дымовой трубы, газоходов (котельная «Центральная» ж.р. Рыбачий);</w:t>
      </w:r>
    </w:p>
    <w:p>
      <w:pPr>
        <w:pStyle w:val="Standard"/>
        <w:tabs>
          <w:tab w:val="clear" w:pos="708"/>
          <w:tab w:val="left" w:pos="993" w:leader="none"/>
        </w:tabs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замена котла № 2 ДЕ-25-14ГМ с комплектом вспомогательного оборудования и автоматики (котельная «Центральная» ж.р. Рыбачий).</w:t>
      </w:r>
    </w:p>
    <w:p>
      <w:pPr>
        <w:pStyle w:val="Standard"/>
        <w:spacing w:lineRule="auto" w:line="240" w:before="0" w:after="0"/>
        <w:ind w:firstLine="187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Standard"/>
        <w:spacing w:lineRule="auto" w:line="240" w:before="0" w:after="0"/>
        <w:ind w:firstLine="754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Общий размер финансовых потребностей по развитию энергоисточников разработан на период 2019 – 2028 гг. и приведен в таблице 12 и составляет: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Таблица 12             </w:t>
      </w:r>
    </w:p>
    <w:p>
      <w:pPr>
        <w:pStyle w:val="Standard"/>
        <w:spacing w:lineRule="auto" w:line="240" w:before="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1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7"/>
        <w:gridCol w:w="1336"/>
        <w:gridCol w:w="1186"/>
        <w:gridCol w:w="584"/>
        <w:gridCol w:w="12"/>
        <w:gridCol w:w="1039"/>
        <w:gridCol w:w="1027"/>
        <w:gridCol w:w="10"/>
        <w:gridCol w:w="1180"/>
        <w:gridCol w:w="6"/>
        <w:gridCol w:w="1029"/>
        <w:gridCol w:w="7"/>
        <w:gridCol w:w="893"/>
        <w:gridCol w:w="892"/>
        <w:gridCol w:w="1034"/>
        <w:gridCol w:w="898"/>
        <w:gridCol w:w="1049"/>
        <w:gridCol w:w="1033"/>
        <w:gridCol w:w="908"/>
      </w:tblGrid>
      <w:tr>
        <w:trPr>
          <w:tblHeader w:val="true"/>
        </w:trPr>
        <w:tc>
          <w:tcPr>
            <w:tcW w:w="44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п/п</w:t>
            </w:r>
          </w:p>
        </w:tc>
        <w:tc>
          <w:tcPr>
            <w:tcW w:w="133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 w:ascii="Times New Roman CYR" w:hAnsi="Times New Roman CYR"/>
                <w:b/>
                <w:bCs/>
                <w:color w:val="000000"/>
                <w:kern w:val="0"/>
                <w:sz w:val="14"/>
                <w:szCs w:val="1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186" w:type="dxa"/>
            <w:vMerge w:val="restart"/>
            <w:tcBorders/>
            <w:textDirection w:val="btL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113" w:right="113"/>
              <w:jc w:val="center"/>
              <w:textAlignment w:val="auto"/>
              <w:rPr>
                <w:rFonts w:ascii="Times New Roman CYR" w:hAnsi="Times New Roman CYR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Описание и место расположения объекта</w:t>
            </w:r>
          </w:p>
        </w:tc>
        <w:tc>
          <w:tcPr>
            <w:tcW w:w="596" w:type="dxa"/>
            <w:gridSpan w:val="2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113" w:right="113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 w:ascii="Times New Roman CYR" w:hAnsi="Times New Roman CYR"/>
                <w:b/>
                <w:bCs/>
                <w:color w:val="000000"/>
                <w:kern w:val="0"/>
                <w:sz w:val="14"/>
                <w:szCs w:val="14"/>
                <w:lang w:val="ru-RU" w:eastAsia="en-US" w:bidi="ar-SA"/>
              </w:rPr>
              <w:t>Период проведения мероприятия</w:t>
            </w:r>
          </w:p>
        </w:tc>
        <w:tc>
          <w:tcPr>
            <w:tcW w:w="1039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113" w:right="113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 w:ascii="Times New Roman CYR" w:hAnsi="Times New Roman CYR"/>
                <w:b/>
                <w:bCs/>
                <w:color w:val="000000"/>
                <w:kern w:val="0"/>
                <w:sz w:val="14"/>
                <w:szCs w:val="14"/>
                <w:lang w:val="ru-RU" w:eastAsia="en-US" w:bidi="ar-SA"/>
              </w:rPr>
              <w:t>Планируемые затраты на мероприятие, тыс. рублей без НДС</w:t>
            </w:r>
          </w:p>
        </w:tc>
        <w:tc>
          <w:tcPr>
            <w:tcW w:w="9966" w:type="dxa"/>
            <w:gridSpan w:val="13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 w:ascii="Times New Roman CYR" w:hAnsi="Times New Roman CYR"/>
                <w:b/>
                <w:bCs/>
                <w:color w:val="000000"/>
                <w:kern w:val="0"/>
                <w:sz w:val="14"/>
                <w:szCs w:val="14"/>
                <w:lang w:val="ru-RU" w:eastAsia="en-US" w:bidi="ar-SA"/>
              </w:rPr>
              <w:t>Предельный размер финансирования на реконструкцию объекта концессионного соглашения, тыс. рублей без НДС по годам</w:t>
            </w:r>
          </w:p>
        </w:tc>
      </w:tr>
      <w:tr>
        <w:trPr>
          <w:tblHeader w:val="true"/>
          <w:trHeight w:val="1251" w:hRule="atLeast"/>
          <w:cantSplit w:val="true"/>
        </w:trPr>
        <w:tc>
          <w:tcPr>
            <w:tcW w:w="447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33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86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113" w:right="113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2019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2021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2022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2023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2024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2025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2026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2027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2028</w:t>
            </w:r>
            <w:bookmarkStart w:id="4" w:name="_Hlk209507773"/>
            <w:bookmarkEnd w:id="4"/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Проектирование и восстановление конструкций здания котельной, проведение экспертизы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2019 - 2028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15 593,220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9 661,017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5 932,203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котла № 6 ДКВР-10/13, автоматики, экономайзера, газоходов (комплекс)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2021 - 2022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16 877,825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6 708,333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10 169,492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автоматики котлов марки ДКВР 10/13 (комплекс)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2021 - 2021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2 473,166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2 473,166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4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котла № 1 ДЕ 25/14 (комплекс)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2019 - 2020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14 738,701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9 322,034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5 416,667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котла № 2 ДЕ-25-14ГМ (комплекс)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2021 - 2022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18 387,561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7 709,595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10 677,966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6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(ремонт) теплообменников ЦАТП № 1,2,3 и системы автоматического регулирования и контроля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2024 - 2025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12 564,396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8 623,625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3 940,771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7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Ремонт мазутной емкости V-5000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2024 - 2024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10 448,608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10 448,608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Ремонт дымовой трубы, газоходов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2024 - 2028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17 967,131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1 865,436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7 627,119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8 474,576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9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Проектирование и ремонт здания котельной, дымовой трубы, газоходов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2023 - 2028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51 243,092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11 886,119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9 140,696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8 182,378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14 406,780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7 627,119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10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котла № 4 ДКВР 10/13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2020 - 2020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5 833,333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5 833,33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11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Модернизация системы диспетчеризации ЦАТП № 1,2,3 жилого района Рыбачий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2020 - 2020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2 083,333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2 083,333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12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Реконструкция системы пожаротушения на БР-1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2020 - 2021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6 833,284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3 658,193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3 175,092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13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насосного оборудования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947,360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947,360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14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солерастворителя С-1,0-1,0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179,539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179,539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15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насосного оборудования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1 149</w:t>
            </w: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,</w:t>
            </w: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155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0</w:t>
            </w: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1 149,155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16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мазутных емкостей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5 827,882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5 827,882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17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насосного оборудования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"Автономная"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41,790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41,790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18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котлоагрегата OLB-2000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"Автономная"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567,785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567,785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19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котла № 3 ДЕ-25-14ГМ с комплектом вспомогательного оборудования и автоматики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2025 - 2026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22 380,223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8 528,702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13 851,520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Монтаж инженерно-технических средств охраны опасного производственного объекта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2020 - 2024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2 279,442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1 250,000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696,525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332,917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21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Монтаж инженерно-технических средств охраны опасного производственного объекта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2020 - 2024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2 176,395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1 250,000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586,812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339,583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344" w:hRule="atLeast"/>
          <w:cantSplit w:val="true"/>
        </w:trPr>
        <w:tc>
          <w:tcPr>
            <w:tcW w:w="3553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right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ИТОГО:</w:t>
            </w:r>
          </w:p>
        </w:tc>
        <w:tc>
          <w:tcPr>
            <w:tcW w:w="105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210 593,220</w:t>
            </w:r>
          </w:p>
        </w:tc>
        <w:tc>
          <w:tcPr>
            <w:tcW w:w="102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18 983,051</w:t>
            </w:r>
          </w:p>
        </w:tc>
        <w:tc>
          <w:tcPr>
            <w:tcW w:w="119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19 491,526</w:t>
            </w:r>
          </w:p>
        </w:tc>
        <w:tc>
          <w:tcPr>
            <w:tcW w:w="103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20 762,711</w:t>
            </w:r>
          </w:p>
        </w:tc>
        <w:tc>
          <w:tcPr>
            <w:tcW w:w="9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20 847,458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21 186,441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21 610,169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21 610,169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22 033,898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22 033,898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22 033,898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Standard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таблице 13 приведены значения финансовых потребностей на развитие тепловых сетей на период до конца 2025 года.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Таблица 13                   </w:t>
      </w:r>
    </w:p>
    <w:tbl>
      <w:tblPr>
        <w:tblW w:w="975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3"/>
        <w:gridCol w:w="5720"/>
        <w:gridCol w:w="3067"/>
      </w:tblGrid>
      <w:tr>
        <w:trPr>
          <w:trHeight w:val="575" w:hRule="atLeast"/>
        </w:trPr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проектов по тепловым сетям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финансовых потребностей на 2025 год, тыс. руб.</w:t>
            </w:r>
          </w:p>
        </w:tc>
      </w:tr>
      <w:tr>
        <w:trPr/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1172" w:hRule="atLeast"/>
        </w:trPr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тепловых сетей без увеличения диаметров, в связи с исчерпанием ресурса (за счет средств Краевого бюджета):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зона котельной ж.р. Приморский.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18 140,89</w:t>
            </w:r>
          </w:p>
        </w:tc>
      </w:tr>
      <w:tr>
        <w:trPr>
          <w:trHeight w:val="349" w:hRule="atLeast"/>
        </w:trPr>
        <w:tc>
          <w:tcPr>
            <w:tcW w:w="6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18 140,89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10.2. Источники покрытия инвестиций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Развитие системы теплоснабжения Вилючинского городского округа на период до 31.12.2027 г. предусматривает, как развитие энергоисточников, так и развитие тепловых сетей.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ab/>
        <w:t xml:space="preserve">Мероприятия, обозначенные в настоящей программе, планируется осуществить в счет средств федерального бюджета, субсидий из краевого и местного бюджетов, а также средств, предусмотренных Концессионным соглашением между администрацией Вилючинского городского округа и </w:t>
        <w:br/>
        <w:t>АО «Камчатэнергосервис».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11. Внесение изменений в Схему в соответствии с поступившими предложениями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Постановлением администрации Вилючинского городского округа от 11.01.2016 № 2 определена единая теплоснабжающая организация Вилючинского городского округа - АО «Камчатэнергосервис». Зона деятельности единой теплоснабжающей организации установлена в соответствии с границами Вилючинского городского округа.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Приложение 2</w:t>
      </w:r>
    </w:p>
    <w:p>
      <w:pPr>
        <w:pStyle w:val="Normal"/>
        <w:spacing w:lineRule="auto" w:line="240" w:before="0" w:after="0"/>
        <w:ind w:left="5103" w:right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главы </w:t>
      </w:r>
    </w:p>
    <w:p>
      <w:pPr>
        <w:pStyle w:val="Normal"/>
        <w:spacing w:lineRule="auto" w:line="240" w:before="0" w:after="0"/>
        <w:ind w:left="5103" w:right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Вилючинского городского округа </w:t>
      </w:r>
    </w:p>
    <w:p>
      <w:pPr>
        <w:pStyle w:val="Normal"/>
        <w:spacing w:lineRule="auto" w:line="240"/>
        <w:ind w:left="5103" w:right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27.01.2026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56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учета предложений по </w:t>
      </w:r>
      <w:r>
        <w:rPr>
          <w:rFonts w:ascii="Times New Roman" w:hAnsi="Times New Roman"/>
          <w:b/>
          <w:sz w:val="28"/>
          <w:szCs w:val="28"/>
        </w:rPr>
        <w:t xml:space="preserve">проекту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остановления администрации Вилючинского городского округа «</w:t>
      </w: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актуализации схемы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теплоснабжения Вилючинского городского </w:t>
      </w: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округа на период до 31.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12.2027»</w:t>
      </w:r>
    </w:p>
    <w:p>
      <w:pPr>
        <w:pStyle w:val="Normal"/>
        <w:widowControl w:val="false"/>
        <w:suppressAutoHyphens w:val="true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и участия граждан в его обсуждении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1" w:right="0"/>
        <w:jc w:val="both"/>
        <w:rPr/>
      </w:pPr>
      <w:r>
        <w:rPr>
          <w:rFonts w:ascii="Times New Roman" w:hAnsi="Times New Roman"/>
          <w:sz w:val="28"/>
          <w:szCs w:val="28"/>
        </w:rPr>
        <w:t>1. Граждане вправе подать свои предложения по проекту п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остановления администрации Вилючинского городского округа «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актуализации схемы </w:t>
      </w:r>
      <w:r>
        <w:rPr>
          <w:rFonts w:cs="Times New Roman" w:ascii="Times New Roman" w:hAnsi="Times New Roman"/>
          <w:sz w:val="28"/>
          <w:szCs w:val="28"/>
        </w:rPr>
        <w:t xml:space="preserve">теплоснабжения Вилючинского городского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округа на период до 31.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12.2027» </w:t>
      </w:r>
      <w:r>
        <w:rPr>
          <w:rFonts w:ascii="Times New Roman" w:hAnsi="Times New Roman"/>
          <w:sz w:val="28"/>
          <w:szCs w:val="28"/>
        </w:rPr>
        <w:t>в управление городского хозяйства администрации Вилючинского городского округа и участвовать в его обсуждении при проведении публичных слушаний.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1" w:right="0"/>
        <w:jc w:val="both"/>
        <w:rPr/>
      </w:pPr>
      <w:r>
        <w:rPr>
          <w:rFonts w:ascii="Times New Roman" w:hAnsi="Times New Roman"/>
          <w:sz w:val="28"/>
          <w:szCs w:val="28"/>
        </w:rPr>
        <w:t>2. Предложения по проекту п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остановления администрации Вилючинского городского округа «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актуализации схемы </w:t>
      </w:r>
      <w:r>
        <w:rPr>
          <w:rFonts w:cs="Times New Roman" w:ascii="Times New Roman" w:hAnsi="Times New Roman"/>
          <w:sz w:val="28"/>
          <w:szCs w:val="28"/>
        </w:rPr>
        <w:t xml:space="preserve">теплоснабжения Вилючинского городского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округа на период до 31.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12.2027»</w:t>
      </w:r>
      <w:r>
        <w:rPr>
          <w:rFonts w:ascii="Times New Roman" w:hAnsi="Times New Roman"/>
          <w:sz w:val="28"/>
          <w:szCs w:val="28"/>
        </w:rPr>
        <w:t xml:space="preserve"> направляются в управление городского хозяйства администрации Вилючинского городского округа в течение 21 дня со дня официального опубликования постановления главы Вилючинского городского округа о назначениях публичных слушаний по данному проекту.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Предложения принимаются по адресу: 684090, г. Вилючинск, ул. Победы,1, кабинет № 32, понедельник - четверг с 9 часов 30 минут до 17 часов 30 минут (перерыв с 13 часов 00 минут до 14 часов 00 минут), пятница с 9 часов 30 минут до 12 часов 30 минут.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При проведении публичных слушаний для организации прений председатель публичных слушаний предоставляет слово участникам публичных слушаний в порядке поступления их предложений.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По окончании прений председатель публичных слушаний ставит на голосование каждое предложение, поступившее от участников публичных слушаний. Предложения принимаются простым большинством от числа зарегистрированных участников публичных слушаний.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Предложения, не относящиеся к тексту обсуждаемого проекта муниципального правового акта, на голосование не ставятся.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Участники вправе снять свои предложения и (или) присоединиться к предложениям, выдвинутым другими участниками публичных слушаний.</w:t>
      </w:r>
    </w:p>
    <w:p>
      <w:pPr>
        <w:pStyle w:val="Normal"/>
        <w:widowControl w:val="false"/>
        <w:suppressAutoHyphens w:val="true"/>
        <w:spacing w:lineRule="auto" w:line="240"/>
        <w:ind w:firstLine="851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Поступившие предложения подлежат учету при подготовке окончательного варианта рекомендаций публичных слушаний.</w:t>
      </w:r>
    </w:p>
    <w:p>
      <w:pPr>
        <w:pStyle w:val="Normal"/>
        <w:widowControl w:val="false"/>
        <w:suppressAutoHyphens w:val="true"/>
        <w:spacing w:lineRule="auto" w:line="240"/>
        <w:ind w:firstLine="851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200"/>
        <w:ind w:firstLine="851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302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07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27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8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07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16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887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07" w:hanging="21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ru-RU" w:bidi="ar-SA"/>
    </w:rPr>
  </w:style>
  <w:style w:type="paragraph" w:styleId="Heading1">
    <w:name w:val="Heading 1"/>
    <w:basedOn w:val="Standard"/>
    <w:next w:val="Textbody"/>
    <w:qFormat/>
    <w:pPr>
      <w:keepNext w:val="true"/>
      <w:spacing w:lineRule="auto" w:line="240" w:before="240" w:after="0"/>
      <w:jc w:val="center"/>
      <w:outlineLvl w:val="0"/>
    </w:pPr>
    <w:rPr>
      <w:rFonts w:ascii="Times New Roman" w:hAnsi="Times New Roman" w:eastAsia="Times New Roman" w:cs="Times New Roman"/>
      <w:b/>
      <w:spacing w:val="200"/>
      <w:sz w:val="40"/>
      <w:szCs w:val="20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smallCap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spacing w:val="200"/>
      <w:sz w:val="40"/>
      <w:szCs w:val="20"/>
    </w:rPr>
  </w:style>
  <w:style w:type="character" w:styleId="Style12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3" w:customStyle="1">
    <w:name w:val="Цветовое выделение"/>
    <w:qFormat/>
    <w:rPr>
      <w:b/>
      <w:color w:val="26282F"/>
    </w:rPr>
  </w:style>
  <w:style w:type="character" w:styleId="Style14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Fontstyle01" w:customStyle="1">
    <w:name w:val="fontstyle01"/>
    <w:basedOn w:val="DefaultParagraphFont"/>
    <w:qFormat/>
    <w:rsid w:val="00767a66"/>
    <w:rPr>
      <w:rFonts w:ascii="Arial" w:hAnsi="Arial" w:cs="Arial"/>
      <w:b w:val="false"/>
      <w:bCs w:val="false"/>
      <w:i w:val="false"/>
      <w:iCs w:val="false"/>
      <w:color w:val="000000"/>
      <w:sz w:val="18"/>
      <w:szCs w:val="18"/>
    </w:rPr>
  </w:style>
  <w:style w:type="character" w:styleId="Fontstyle21" w:customStyle="1">
    <w:name w:val="fontstyle21"/>
    <w:basedOn w:val="DefaultParagraphFont"/>
    <w:qFormat/>
    <w:rsid w:val="00767a66"/>
    <w:rPr>
      <w:rFonts w:ascii="Calibri" w:hAnsi="Calibri" w:cs="Calibri"/>
      <w:b w:val="false"/>
      <w:bCs w:val="false"/>
      <w:i w:val="false"/>
      <w:iCs w:val="false"/>
      <w:color w:val="000000"/>
      <w:sz w:val="22"/>
      <w:szCs w:val="22"/>
    </w:rPr>
  </w:style>
  <w:style w:type="character" w:styleId="Fontstyle31" w:customStyle="1">
    <w:name w:val="fontstyle31"/>
    <w:basedOn w:val="DefaultParagraphFont"/>
    <w:qFormat/>
    <w:rsid w:val="00ce23fe"/>
    <w:rPr>
      <w:rFonts w:ascii="Arial" w:hAnsi="Arial" w:cs="Arial"/>
      <w:b w:val="false"/>
      <w:bCs w:val="false"/>
      <w:i w:val="false"/>
      <w:iCs w:val="false"/>
      <w:color w:val="000000"/>
      <w:sz w:val="20"/>
      <w:szCs w:val="20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e43453"/>
    <w:rPr>
      <w:sz w:val="20"/>
      <w:szCs w:val="20"/>
    </w:rPr>
  </w:style>
  <w:style w:type="character" w:styleId="Style18">
    <w:name w:val="Символ сноски"/>
    <w:uiPriority w:val="99"/>
    <w:semiHidden/>
    <w:unhideWhenUsed/>
    <w:qFormat/>
    <w:rsid w:val="00e4345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9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 w:customStyle="1">
    <w:name w:val="Указатель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ru-RU" w:bidi="ar-SA"/>
    </w:rPr>
  </w:style>
  <w:style w:type="paragraph" w:styleId="Textbody" w:customStyle="1">
    <w:name w:val="Text body"/>
    <w:basedOn w:val="Standard"/>
    <w:qFormat/>
    <w:pPr>
      <w:widowControl w:val="fals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распоряжение"/>
    <w:basedOn w:val="Standard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b/>
      <w:bCs/>
      <w:color w:val="auto"/>
      <w:kern w:val="2"/>
      <w:sz w:val="24"/>
      <w:szCs w:val="24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11" w:customStyle="1">
    <w:name w:val="Абзац списка1"/>
    <w:basedOn w:val="Standard"/>
    <w:qFormat/>
    <w:pPr>
      <w:ind w:left="720"/>
    </w:pPr>
    <w:rPr>
      <w:rFonts w:eastAsia="Times New Roman" w:cs="Times New Roman"/>
      <w:lang w:eastAsia="en-US"/>
    </w:rPr>
  </w:style>
  <w:style w:type="paragraph" w:styleId="Header">
    <w:name w:val="Head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lineRule="auto" w:line="240" w:before="0" w:after="0"/>
      <w:ind w:right="19772"/>
      <w:jc w:val="left"/>
      <w:textAlignment w:val="baseline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ListParagraph">
    <w:name w:val="List Paragraph"/>
    <w:basedOn w:val="Standard"/>
    <w:qFormat/>
    <w:pPr>
      <w:spacing w:lineRule="auto" w:line="240" w:before="0" w:after="0"/>
      <w:ind w:left="72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ru-RU" w:bidi="ar-SA"/>
    </w:rPr>
  </w:style>
  <w:style w:type="paragraph" w:styleId="Style23" w:customStyle="1">
    <w:name w:val="Содержимое таблицы"/>
    <w:basedOn w:val="Standard"/>
    <w:qFormat/>
    <w:pPr>
      <w:suppressLineNumbers/>
    </w:pPr>
    <w:rPr/>
  </w:style>
  <w:style w:type="paragraph" w:styleId="FootnoteText">
    <w:name w:val="Footnote Text"/>
    <w:basedOn w:val="Normal"/>
    <w:link w:val="Style17"/>
    <w:uiPriority w:val="99"/>
    <w:semiHidden/>
    <w:unhideWhenUsed/>
    <w:rsid w:val="00e43453"/>
    <w:pPr>
      <w:spacing w:lineRule="auto" w:line="240" w:before="0" w:after="0"/>
    </w:pPr>
    <w:rPr>
      <w:sz w:val="20"/>
      <w:szCs w:val="20"/>
    </w:rPr>
  </w:style>
  <w:style w:type="paragraph" w:styleId="Caption11">
    <w:name w:val="caption11"/>
    <w:qFormat/>
    <w:pPr>
      <w:widowControl/>
      <w:suppressAutoHyphens w:val="true"/>
      <w:bidi w:val="0"/>
      <w:spacing w:lineRule="auto" w:line="276" w:before="120" w:after="120"/>
      <w:jc w:val="left"/>
      <w:textAlignment w:val="baseline"/>
    </w:pPr>
    <w:rPr>
      <w:rFonts w:ascii="Calibri" w:hAnsi="Calibri" w:eastAsia="SimSun" w:cs="Mangal"/>
      <w:i/>
      <w:iCs/>
      <w:color w:val="auto"/>
      <w:kern w:val="2"/>
      <w:sz w:val="24"/>
      <w:szCs w:val="24"/>
      <w:lang w:val="ru-RU" w:eastAsia="ru-RU" w:bidi="ar-SA"/>
    </w:rPr>
  </w:style>
  <w:style w:type="paragraph" w:styleId="Style24">
    <w:name w:val="ðàñïîðÿæåíèå"/>
    <w:basedOn w:val="Normal"/>
    <w:next w:val="BodyText"/>
    <w:qFormat/>
    <w:pPr>
      <w:overflowPunct w:val="true"/>
      <w:jc w:val="center"/>
      <w:textAlignment w:val="baselin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942823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1">
    <w:name w:val="Table Grid"/>
    <w:basedOn w:val="a1"/>
    <w:uiPriority w:val="59"/>
    <w:rsid w:val="009428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9F3E-215D-4375-ABFA-ADAF70B5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Application>LibreOffice/7.6.7.2$Linux_X86_64 LibreOffice_project/60$Build-2</Application>
  <AppVersion>15.0000</AppVersion>
  <Pages>30</Pages>
  <Words>6225</Words>
  <Characters>40061</Characters>
  <CharactersWithSpaces>44125</CharactersWithSpaces>
  <Paragraphs>2706</Paragraphs>
  <Company>Администрация ВГО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dc:language>ru-RU</dc:language>
  <cp:lastModifiedBy/>
  <dcterms:modified xsi:type="dcterms:W3CDTF">2026-01-30T09:40:42Z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