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ind w:left="4860"/>
        <w:jc w:val="center"/>
        <w:rPr>
          <w:rFonts w:ascii="Times New Roman" w:hAnsi="Times New Roman" w:eastAsia="Times New Roman" w:cs="Times New Roman"/>
          <w:lang w:eastAsia="zh-CN"/>
        </w:rPr>
      </w:pPr>
      <w:r>
        <w:rPr>
          <w:rFonts w:eastAsia="Times New Roman" w:cs="Times New Roman" w:ascii="Times New Roman" w:hAnsi="Times New Roman"/>
          <w:lang w:eastAsia="zh-CN"/>
        </w:rPr>
        <w:t>Приложение № 1</w:t>
      </w:r>
    </w:p>
    <w:p>
      <w:pPr>
        <w:pStyle w:val="Normal"/>
        <w:suppressAutoHyphens w:val="true"/>
        <w:spacing w:lineRule="auto" w:line="240" w:before="0" w:after="0"/>
        <w:ind w:left="4820"/>
        <w:jc w:val="center"/>
        <w:rPr>
          <w:rFonts w:ascii="Times New Roman" w:hAnsi="Times New Roman" w:eastAsia="Times New Roman" w:cs="Times New Roman"/>
          <w:lang w:eastAsia="zh-CN"/>
        </w:rPr>
      </w:pPr>
      <w:r>
        <w:rPr>
          <w:rFonts w:eastAsia="Times New Roman" w:cs="Times New Roman" w:ascii="Times New Roman" w:hAnsi="Times New Roman"/>
          <w:lang w:eastAsia="zh-CN"/>
        </w:rPr>
        <w:t xml:space="preserve">к постановлению Вилючинской территориальной избирательной </w:t>
      </w:r>
    </w:p>
    <w:p>
      <w:pPr>
        <w:pStyle w:val="Normal"/>
        <w:suppressAutoHyphens w:val="true"/>
        <w:spacing w:lineRule="auto" w:line="240" w:before="0" w:after="0"/>
        <w:ind w:left="4820"/>
        <w:jc w:val="center"/>
        <w:rPr>
          <w:rFonts w:ascii="Times New Roman" w:hAnsi="Times New Roman" w:eastAsia="Times New Roman" w:cs="Times New Roman"/>
          <w:b/>
          <w:bCs/>
          <w:sz w:val="28"/>
          <w:lang w:eastAsia="zh-CN"/>
        </w:rPr>
      </w:pPr>
      <w:r>
        <w:rPr>
          <w:rFonts w:eastAsia="Times New Roman" w:cs="Times New Roman" w:ascii="Times New Roman" w:hAnsi="Times New Roman"/>
          <w:lang w:eastAsia="zh-CN"/>
        </w:rPr>
        <w:t>комиссии от 29.07.2026г. № 6/5</w:t>
      </w:r>
    </w:p>
    <w:p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ПОЛОЖЕНИЕ </w:t>
      </w:r>
    </w:p>
    <w:p>
      <w:pPr>
        <w:pStyle w:val="Default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Рабочей группе по обеспечению избирательных прав граждан с ограниченными физическими возможностями, проживающих в Вилючинском городском округе </w:t>
      </w:r>
    </w:p>
    <w:p>
      <w:pPr>
        <w:pStyle w:val="Default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Default"/>
        <w:ind w:right="-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Общие положения </w:t>
      </w:r>
    </w:p>
    <w:p>
      <w:pPr>
        <w:pStyle w:val="Default"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ind w:firstLine="709"/>
        <w:jc w:val="both"/>
        <w:rPr>
          <w:sz w:val="28"/>
          <w:szCs w:val="28"/>
          <w14:numSpacing w14:val="proportional"/>
        </w:rPr>
      </w:pPr>
      <w:r>
        <w:rPr>
          <w:sz w:val="28"/>
          <w:szCs w:val="28"/>
          <w14:numSpacing w14:val="proportional"/>
        </w:rPr>
        <w:t xml:space="preserve">1.1. Вопросы обеспечения избирательных прав граждан с ограниченными физическими возможностями при проведении выборов регулируются Конституцией Российской Федерации, Федеральным законом «Об основных гарантиях избирательных прав и права на участие в референдуме граждан Российской Федерации» (далее – Федеральный закон),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утвержденными постановлением Центральной избирательной комиссии Российской Федерации от 29.07.2020 № 262/1933-7 и иными законодательными актами. </w:t>
      </w:r>
    </w:p>
    <w:p>
      <w:pPr>
        <w:pStyle w:val="Default"/>
        <w:ind w:firstLine="709"/>
        <w:jc w:val="both"/>
        <w:rPr>
          <w:sz w:val="28"/>
          <w:szCs w:val="28"/>
          <w14:numSpacing w14:val="proportional"/>
        </w:rPr>
      </w:pPr>
      <w:r>
        <w:rPr>
          <w:sz w:val="28"/>
          <w:szCs w:val="28"/>
          <w14:numSpacing w14:val="proportional"/>
        </w:rPr>
        <w:t xml:space="preserve">1.2. Настоящее Положение о Рабочей группе по обеспечению избирательных прав граждан с ограниченными физическими возможностями, проживающих в Вилючинском городском округе (далее – Положение), определяет порядок и формы деятельности Рабочей группы по обеспечению избирательных прав граждан с ограниченными физическими возможностями, проживающих в Вилючинском городском округе (далее – Рабочая группа).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14:numSpacing w14:val="proportional"/>
        </w:rPr>
      </w:pPr>
      <w:r>
        <w:rPr>
          <w:rFonts w:cs="Times New Roman" w:ascii="Times New Roman" w:hAnsi="Times New Roman"/>
          <w:sz w:val="28"/>
          <w:szCs w:val="28"/>
          <w14:numSpacing w14:val="proportional"/>
        </w:rPr>
        <w:t>1.3. Рабочая группа создается в целях определения путей реализации стоящих перед Вилючинской территориальной избирательной комиссией задач по обеспечению избирательных прав и права на участие в выборах граждан Российской Федерации, являющихся инвалидами, проживающих на территории Вилючинского городского округа, в период подготовки и проведения выборов депутатов Государственной Думы Федерального Собрания Российской Федерации девятого созыва,  Законодательного Собрания Камчатского края пятого созыва и подготовки предложений по вопросам, входящим в компетенцию Рабочей группы, на заседания Вилючинской территориальной избирательной комиссии.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14:numSpacing w14:val="proportional"/>
        </w:rPr>
      </w:pPr>
      <w:r>
        <w:rPr>
          <w:rFonts w:cs="Times New Roman" w:ascii="Times New Roman" w:hAnsi="Times New Roman"/>
          <w:sz w:val="28"/>
          <w:szCs w:val="28"/>
          <w14:numSpacing w14:val="proportional"/>
        </w:rPr>
        <w:t>1.4. Полномочия Рабочей группы, установленные настоящим Положением, реализуются ею на период подготовки и проведения в 2026 году выборов депутатов Государственной Думы Федерального Собрания Российской Федерации девятого созыва, Законодательного Собрания Камчатского края пятого созыва.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14:numSpacing w14:val="proportional"/>
        </w:rPr>
      </w:pPr>
      <w:r>
        <w:rPr>
          <w:rFonts w:cs="Times New Roman" w:ascii="Times New Roman" w:hAnsi="Times New Roman"/>
          <w:sz w:val="28"/>
          <w:szCs w:val="28"/>
          <w14:numSpacing w14:val="proportional"/>
        </w:rPr>
        <w:t>1.5. Рабочая группа в пределах полномочий, предоставленных ей настоящим Положением, взаимодействует с органами местного самоуправления, государственными, муниципальными учреждениями и другими организациями.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1.6. Предложения по рассмотренным вопросам Рабочая группа представляет председателю Вилючинской территориальной избирательной комиссии, по решению которого они выносятся на заседание Вилючинской территориальной избирательной комиссии либо направляются в государственные или муниципальные органы, организации.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2. Порядок формирования Рабочей группы</w:t>
      </w:r>
    </w:p>
    <w:p>
      <w:pPr>
        <w:pStyle w:val="Style16"/>
        <w:widowControl/>
        <w:bidi w:val="0"/>
        <w:spacing w:lineRule="auto" w:line="276" w:before="0" w:after="0"/>
        <w:ind w:firstLine="907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Рабочая группа формируется Вилючинской территориальной избирательной комиссией из числа членов Вилючинской территориальной избирательной комиссии с правом решающего голоса, а также специалистов государственных, муниципальных и иных органов, организаций, учреждений, органов социальной защиты населения и общественных организаций инвалидов (по согласованию).</w:t>
      </w:r>
    </w:p>
    <w:p>
      <w:pPr>
        <w:pStyle w:val="Style16"/>
        <w:widowControl/>
        <w:bidi w:val="0"/>
        <w:spacing w:lineRule="auto" w:line="276" w:before="0" w:after="0"/>
        <w:ind w:firstLine="907" w:left="0" w:right="0"/>
        <w:jc w:val="both"/>
        <w:rPr>
          <w:rFonts w:cs="Times New Roman"/>
        </w:rPr>
      </w:pPr>
      <w:r>
        <w:rPr>
          <w:rFonts w:ascii="Times New Roman" w:hAnsi="Times New Roman"/>
          <w:sz w:val="28"/>
          <w:szCs w:val="28"/>
        </w:rPr>
        <w:t>2.2. Персональный состав Рабочей группы утверждается постановлением Вилючинской территориальной избирательной комиссии. В том же порядке в персональный состав Рабочей группы могут вноситься изменения.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3. Задачи Рабочей группы</w:t>
      </w:r>
    </w:p>
    <w:p>
      <w:pPr>
        <w:pStyle w:val="Style16"/>
        <w:widowControl/>
        <w:bidi w:val="0"/>
        <w:spacing w:lineRule="auto" w:line="276" w:before="0" w:after="0"/>
        <w:ind w:firstLine="85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Основными задачами Рабочей группы являются:</w:t>
      </w:r>
    </w:p>
    <w:p>
      <w:pPr>
        <w:pStyle w:val="Style16"/>
        <w:widowControl/>
        <w:bidi w:val="0"/>
        <w:spacing w:lineRule="auto" w:line="276" w:before="0" w:after="0"/>
        <w:ind w:firstLine="85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3.1.1. Взаимодействие с органами местного самоуправления, общественными организациями инвалидов по вопросам информационного обеспечения избирателей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 ограниченными физическими возможностями в ходе подготовки и проведения выборов депутатов Государственной Думы Федерального Собрания Российской Федерации девятого созыва,  Законодательного Собрания Камчатского края пятого созыва.</w:t>
      </w:r>
    </w:p>
    <w:p>
      <w:pPr>
        <w:pStyle w:val="Style16"/>
        <w:widowControl/>
        <w:bidi w:val="0"/>
        <w:spacing w:lineRule="auto" w:line="276" w:before="0" w:after="0"/>
        <w:ind w:firstLine="85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3.1.2. Сбор и обобщение сведений об избирателях с ограниченными физическими возможностями (с нарушением зрения, с нарушением слуха, с нарушением функций опорно-двигательного аппарата, инвалидов-колясочников), проживающих в Вилючинском городском округе, о форме голосования, выбранной избирателями.</w:t>
      </w:r>
    </w:p>
    <w:p>
      <w:pPr>
        <w:pStyle w:val="Style16"/>
        <w:widowControl/>
        <w:bidi w:val="0"/>
        <w:spacing w:lineRule="auto" w:line="276" w:before="0" w:after="0"/>
        <w:ind w:firstLine="85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 Организация правового просвещения избирателей с ограниченными физическими возможностями, доведение до них информации о возможных способах голосования, предусмотренных федеральным и региональным законодательством о выборах: голосование по месту нахождения, голосовании вне помещения для голосования, голосовании с помощью других лиц.</w:t>
      </w:r>
    </w:p>
    <w:p>
      <w:pPr>
        <w:pStyle w:val="Style16"/>
        <w:widowControl/>
        <w:bidi w:val="0"/>
        <w:spacing w:lineRule="auto" w:line="276" w:before="0" w:after="0"/>
        <w:ind w:firstLine="85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3.1.4. Участие в обучении членов участковых избирательных комиссий работе с избирателями с ограниченными физическими возможностями.</w:t>
      </w:r>
    </w:p>
    <w:p>
      <w:pPr>
        <w:pStyle w:val="Style16"/>
        <w:widowControl/>
        <w:bidi w:val="0"/>
        <w:spacing w:lineRule="auto" w:line="276" w:before="0" w:after="0"/>
        <w:ind w:firstLine="85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3.1.5. Организация работы по распространению информационных материалов среди соответствующих категорий избирателей, в том числе с помощью органов социального обеспечения и общественных организаций инвалидов.</w:t>
      </w:r>
    </w:p>
    <w:p>
      <w:pPr>
        <w:pStyle w:val="Style16"/>
        <w:widowControl/>
        <w:bidi w:val="0"/>
        <w:spacing w:lineRule="auto" w:line="276" w:before="0" w:after="0"/>
        <w:ind w:firstLine="85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3.1.6. Оказание организационно-методической помощи участковым избирательным комиссиям в организации и проведении голосования тяжелобольных и малоподвижных избирателей по предварительным заявлениям вне помещения для голосования.</w:t>
      </w:r>
    </w:p>
    <w:p>
      <w:pPr>
        <w:pStyle w:val="Style16"/>
        <w:widowControl/>
        <w:bidi w:val="0"/>
        <w:spacing w:lineRule="auto" w:line="276" w:before="0" w:after="0"/>
        <w:ind w:firstLine="85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Организация деятельности Рабочей группы </w:t>
      </w:r>
    </w:p>
    <w:p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spacing w:lineRule="auto" w:line="27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Деятельность Рабочей группы осуществляется в разных формах, которые включают заседания, консультации и обмен информацией. </w:t>
      </w:r>
    </w:p>
    <w:p>
      <w:pPr>
        <w:pStyle w:val="Default"/>
        <w:spacing w:lineRule="auto" w:line="27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Деятельность Рабочей группы осуществляется на основе коллегиальности, открытого обсуждения вопросов, относящихся к ее компетенции. </w:t>
      </w:r>
    </w:p>
    <w:p>
      <w:pPr>
        <w:pStyle w:val="Default"/>
        <w:spacing w:lineRule="auto" w:line="27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Для рассмотрения выносимых на заседание Рабочей группы вопросов могут приглашаться представители муниципальных органов, специалисты, эксперты и иные лица. В случае присутствия на заседании Рабочей группы указанных выше представителей они вправе давать объяснения по существу рассматриваемого вопроса. 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  <w:font w:name="Iosevka Term SS03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Default" w:customStyle="1">
    <w:name w:val="Default"/>
    <w:qFormat/>
    <w:rsid w:val="000e156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16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Iosevka Term SS03" w:cs="Iosevka Term SS03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Application>LibreOffice/7.6.7.2$Linux_X86_64 LibreOffice_project/60$Build-2</Application>
  <AppVersion>15.0000</AppVersion>
  <Pages>3</Pages>
  <Words>627</Words>
  <Characters>4980</Characters>
  <CharactersWithSpaces>5595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2025-08-04T05:16:00Z</dcterms:created>
  <dc:creator>1</dc:creator>
  <dc:description/>
  <dc:language>ru-RU</dc:language>
  <cp:lastModifiedBy/>
  <cp:lastPrinted>2025-08-05T04:27:00Z</cp:lastPrinted>
  <dcterms:modified xsi:type="dcterms:W3CDTF">2026-07-29T15:02:44Z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