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0"/>
        <w:gridCol w:w="4313"/>
      </w:tblGrid>
      <w:tr>
        <w:trPr>
          <w:trHeight w:val="1701" w:hRule="atLeast"/>
        </w:trPr>
        <w:tc>
          <w:tcPr>
            <w:tcW w:w="5490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13" w:type="dxa"/>
            <w:tcBorders/>
          </w:tcPr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Приложение</w:t>
            </w:r>
          </w:p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к постановлению  администрации</w:t>
            </w:r>
          </w:p>
          <w:p>
            <w:pPr>
              <w:pStyle w:val="Normal"/>
              <w:jc w:val="lef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Вилючинского городского округа</w:t>
            </w:r>
          </w:p>
          <w:p>
            <w:pPr>
              <w:pStyle w:val="Normal"/>
              <w:jc w:val="left"/>
              <w:rPr>
                <w:u w:val="singl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 xml:space="preserve">от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 xml:space="preserve">                                 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№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________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  <w:szCs w:val="28"/>
        </w:rPr>
        <w:t>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оплаты проезда членов команд и тренеров для участия в соревнованиях за пределами Камчатского края региональной общественной организации «Федерация настольного тенниса Камчатского края» на 2026 год.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Настоящий Порядок разработан в соответствии с действующим законодательством Российской Федерации и Уставом Вилючинского городского округа с целью оказания финансовой помощи региональной общественной организации «Федерация настольного тенниса Камчатского края» на 2026 год для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оплаты проезда членов команд и тренеров для участия в соревнованиях за пределами Камчатского края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 xml:space="preserve">в рамках выполнения наказов депутатов Законодательного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обрания Камчатского края за счёт средств местного бюджета.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определяет цели, условия предоставления и возврат Субсидии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оплаты проезда членов команд и тренеров для участия в соревнованиях за пределами Камчатского края</w:t>
      </w:r>
      <w:r>
        <w:rPr>
          <w:rFonts w:ascii="Times New Roman" w:hAnsi="Times New Roman"/>
          <w:sz w:val="28"/>
          <w:szCs w:val="28"/>
        </w:rPr>
        <w:t xml:space="preserve"> (далее — Субсидия) в случае нарушения условий, установленных при её предоставлении.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молодёжная политика, отдых и оздоровление детей в Вилючинском городском округе» является оплат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а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проезда членов команд и тренеров для участия в соревнованиях за пределами Камчатского края.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на безвозмездной и безвозвратной основе осуществляет главный распорядитель средств местного бюджета — Управление социальной политики администрации Вилючинского городского округа (далее — Управление), которому в соответствии с бюджетным законодательством Российской Федерации как получателю бюджетных средств в установленном порядке доведены лимиты бюджетных обязательств на предоставление Субсидий на соответствующий финансовый год.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Получателем субсидии является региональн</w:t>
      </w:r>
      <w:r>
        <w:rPr>
          <w:rStyle w:val="Style14"/>
          <w:rFonts w:ascii="Times New Roman" w:hAnsi="Times New Roman"/>
          <w:sz w:val="28"/>
          <w:szCs w:val="28"/>
        </w:rPr>
        <w:t>ая</w:t>
      </w:r>
      <w:r>
        <w:rPr>
          <w:rStyle w:val="Style14"/>
          <w:rFonts w:ascii="Times New Roman" w:hAnsi="Times New Roman"/>
          <w:sz w:val="28"/>
          <w:szCs w:val="28"/>
        </w:rPr>
        <w:t xml:space="preserve"> общественн</w:t>
      </w:r>
      <w:r>
        <w:rPr>
          <w:rStyle w:val="Style14"/>
          <w:rFonts w:ascii="Times New Roman" w:hAnsi="Times New Roman"/>
          <w:sz w:val="28"/>
          <w:szCs w:val="28"/>
        </w:rPr>
        <w:t>ая</w:t>
      </w:r>
      <w:r>
        <w:rPr>
          <w:rStyle w:val="Style14"/>
          <w:rFonts w:ascii="Times New Roman" w:hAnsi="Times New Roman"/>
          <w:sz w:val="28"/>
          <w:szCs w:val="28"/>
        </w:rPr>
        <w:t xml:space="preserve"> организации «Федерация настольного тенниса Камчатского края» (далее — Получатель) в соответствии с Решением Думы Вилючинского городского округа от 22.12.2025 № 31/7</w:t>
        <w:noBreakHyphen/>
        <w:t>8 «О местном бюджете на 2026 год и на плановый период 2027 и 2028 годов».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</w:t>
        <w:noBreakHyphen/>
        <w:t>телекоммуникационной сети «Интернет» (далее — единый портал)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Субсидия предоставляется в форме финансового обеспечения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Style w:val="Style1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9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  <w:shd w:fill="auto" w:val="clear"/>
        </w:rPr>
        <w:t>Направлением расходов Субсидии являются: оплаты проезда членов команд и тренеров для участия в соревнованиях за пределами Камчатского края.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либо об отказе в её предоставлении. О принятом решении Получатель субсидии уведомляется в письменной форме в течение 3 (трёх) рабочих дней после завершения рассмотрения документов.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требованиям, установленным настоящим Порядком, или непредставление (представление не в полном объёме)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счёт средств бюджета Вилючинского городского округа. Размер Субсидии определён Решением Думы Вилючинского городского округа от 22.12.2025 № 31/7-8 «О местном бюджете на 2026 год и на плановый период 2027 и 2028 годов». Размер Субсидии не может превышать размер утверждённых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соглашение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о предоставлении из местного бюджета субсидий, </w:t>
      </w:r>
      <w:r>
        <w:rPr>
          <w:rFonts w:eastAsia="" w:cs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в том числе грантов в форме субсидий, юридическим лицам,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>индивидуальным предпринимателям, некоммерческим организациям не являющимся муниципальным учреждением, а также физическим лицам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(далее — Соглашение).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заключаются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согласие Получателя субсидии, лиц, получающих средства на основании договоров, заключённых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Управлением в отношении их проверки 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Федерации,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оплат</w:t>
      </w:r>
      <w:r>
        <w:rPr>
          <w:rStyle w:val="Style14"/>
          <w:rFonts w:ascii="Times New Roman" w:hAnsi="Times New Roman"/>
          <w:sz w:val="28"/>
        </w:rPr>
        <w:t>а</w:t>
      </w:r>
      <w:r>
        <w:rPr>
          <w:rStyle w:val="Style14"/>
          <w:rFonts w:ascii="Times New Roman" w:hAnsi="Times New Roman"/>
          <w:sz w:val="28"/>
        </w:rPr>
        <w:t xml:space="preserve"> проезда членов команд и тренеров для участия в соревнованиях за пределами Камчатского края</w:t>
      </w:r>
      <w:r>
        <w:rPr>
          <w:rStyle w:val="Style14"/>
          <w:rFonts w:ascii="Times New Roman" w:hAnsi="Times New Roman"/>
          <w:sz w:val="28"/>
          <w:szCs w:val="28"/>
        </w:rPr>
        <w:t>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- показатели, необходимые для достижения результатов предоставления Субсидии: оплат</w:t>
      </w:r>
      <w:r>
        <w:rPr>
          <w:rStyle w:val="Style14"/>
          <w:rFonts w:ascii="Times New Roman" w:hAnsi="Times New Roman"/>
          <w:sz w:val="28"/>
        </w:rPr>
        <w:t>а</w:t>
      </w:r>
      <w:r>
        <w:rPr>
          <w:rStyle w:val="Style14"/>
          <w:rFonts w:ascii="Times New Roman" w:hAnsi="Times New Roman"/>
          <w:sz w:val="28"/>
        </w:rPr>
        <w:t xml:space="preserve"> проезда членов команд и тренеров для участия в соревнованиях за пределами Камчатского края;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доведённых лимитов бюджетных обязательств, приводящих к невозможности предоставления Субсидии в размере, определённом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недостижении согласия по новым условиям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расчётный счёт Получателя субсидии, открытый в кредитной организации, в пределах доведённых объёмов финансирования, в соответствии с условиями и в срок, определёнными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средств на расчётный счёт обязан в срок, установленный Соглашением, представить в Управление сведения о достигнутых результатах предоставления Субсидии, под которыми понима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ся оплат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проезда членов команд и тренеров для участия в соревнованиях за пределами Камчатского края. Кроме того, необходимо предоставить заверенные копии платёжных поручений, договоров, актов выполненных работ и иных документов (при необходимости), подтверждающих расходование средств по направлениям расходов, указанным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путём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месяца,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определённый п. 3 ст.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Федерации, а также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таким, местом регистрации которого является государство или территория, включённая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—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проверки Получателя Субсидии Управление получает соответствующие сведения из Единого государственного реестра юридических лиц, осуществляет сверку данных на официальном сайте Федеральной налоговой службы Российской Федерации (в разделе «Поиск сведений в реестре дисквалифицированных лиц») и на официальном сайте Росфинмониторинга (в разделе «Перечень организаций и физических лиц, в отношении которых имеются сведения об их причастности к экстремистской деятельности или терроризму»), а также запрашивает сведения о наличии просроченной задолженности перед бюджетом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3.1. Получатель субсидии предоставляет в Управление: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 отчёт об осуществлении расходов, источником финансового обеспечения которых является Субсидия,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Получателем субсидии, но не позднее 1 декабря 2026 года;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-отчёт о достигнутых значениях результата предоставления Субсидии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Субсидии, но не позднее 1 декабря 2026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3.2. Управление осуществляет проверку отчётов, устанавливает полноту и достоверность сведений, содержащихся в отчётах, прилагаемых к ним документах и материалах, в течение 10 рабочих дней со дня их получения.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Отчёты, указанные в пункте 3.1 настоящего Порядка, считаются принятыми после направления Получателю субсидии уведомления, подписанного руководителем Управления или уполномоченным им лицом, — посредством почтового отправления, электронной связи либо нарочно.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Отчёты, указанные в пункте 3.1 настоящего Порядка, считаются непринятыми после направления Получателю субсидии уведомления, подписанного руководителем Управления (или уполномоченным им лицом), посредством почтового отправления, электронной связи либо нарочным.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Основания для признания отчётов непринятыми: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непредставление либо представление не в полном объёме отчётов, указанных в пункте 3.1 настоящего Порядка;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некорректное заполнение либо незаполнение Получателем субсидии всех обязательных для заполнения граф, предусмотренных в отчётах;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предоставление отчётов с нарушением сроков, указанных в пункте 3.1 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32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Управление осуществляет проверку соблюдения Получателем субсидии порядка и условий её предоставления, в том числе в части достижения результатов предоставления Субсидии. Орган муниципального финансового контроля проводит проверку в соответствии со статьёй 268.1 Бюджетного кодекса Российской Федерации. В соответствии со статьёй 269.2 Бюджетного кодекса Российской Федерации проверку осуществляет уполномоченный сотрудник администрации Вилючинского городского округа.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условий предоставления Субсидии, недостижения установленных значений результата её использования либо нецелевого использования Субсидии она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израсходованный в текущем финансовом году, подлежит обязательному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положений пунктов 4.2 и 4.3 раздела 4 настоящего Порядка взыскание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на основании значений, установленных Соглашением о предоставлении Субсидии, которые подтверждают факт завершения соответствующих мероприятий, предусмотренных для достижения этих результатов.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28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5"/>
        <w:gridCol w:w="5372"/>
      </w:tblGrid>
      <w:tr>
        <w:trPr/>
        <w:tc>
          <w:tcPr>
            <w:tcW w:w="4255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372" w:type="dxa"/>
            <w:tcBorders/>
          </w:tcPr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Приложение</w:t>
            </w:r>
          </w:p>
          <w:p>
            <w:pPr>
              <w:pStyle w:val="Normal"/>
              <w:jc w:val="both"/>
              <w:rPr/>
            </w:pP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 xml:space="preserve">к Порядку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</w:t>
            </w: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для</w:t>
            </w: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 xml:space="preserve"> оплаты проезда членов команд и тренеров для участия в соревнованиях за пределами Камчатского края региональной общественной организации «Федерация настольного тенниса Камчатского края» на 2026 год</w:t>
            </w:r>
          </w:p>
          <w:p>
            <w:pPr>
              <w:pStyle w:val="Normal"/>
              <w:jc w:val="both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 xml:space="preserve">о предоставлении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</w:t>
      </w:r>
      <w:r>
        <w:rPr>
          <w:rStyle w:val="Style14"/>
          <w:rFonts w:eastAsia="NSimSun" w:cs="Mang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6"/>
          <w:sz w:val="26"/>
          <w:szCs w:val="26"/>
          <w:u w:val="none"/>
          <w:shd w:fill="auto" w:val="clear"/>
          <w:vertAlign w:val="baseline"/>
          <w:em w:val="none"/>
          <w:lang w:val="ru-RU" w:eastAsia="zh-CN" w:bidi="hi-IN"/>
        </w:rPr>
        <w:t>для</w:t>
      </w:r>
      <w:r>
        <w:rPr>
          <w:rStyle w:val="Style14"/>
          <w:rFonts w:eastAsia="NSimSun" w:cs="Mang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6"/>
          <w:sz w:val="26"/>
          <w:szCs w:val="26"/>
          <w:u w:val="none"/>
          <w:shd w:fill="auto" w:val="clear"/>
          <w:vertAlign w:val="baseline"/>
          <w:em w:val="none"/>
          <w:lang w:val="ru-RU" w:eastAsia="zh-CN" w:bidi="hi-IN"/>
        </w:rPr>
        <w:t xml:space="preserve"> оплаты проезда членов команд и тренеров для участия в соревнованиях за пределами Камчатского края региональной общественной организации «Федерация настольного тенниса Камчатского края» </w:t>
      </w:r>
    </w:p>
    <w:p>
      <w:pPr>
        <w:pStyle w:val="Normal"/>
        <w:jc w:val="center"/>
        <w:rPr/>
      </w:pPr>
      <w:r>
        <w:rPr>
          <w:rStyle w:val="Style14"/>
          <w:rFonts w:eastAsia="NSimSun" w:cs="Mang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6"/>
          <w:sz w:val="26"/>
          <w:szCs w:val="26"/>
          <w:u w:val="none"/>
          <w:shd w:fill="auto" w:val="clear"/>
          <w:vertAlign w:val="baseline"/>
          <w:em w:val="none"/>
          <w:lang w:val="ru-RU" w:eastAsia="zh-CN" w:bidi="hi-IN"/>
        </w:rPr>
        <w:t>на 2026 год</w:t>
      </w:r>
    </w:p>
    <w:p>
      <w:pPr>
        <w:pStyle w:val="Normal"/>
        <w:jc w:val="center"/>
        <w:rPr>
          <w:rStyle w:val="Style14"/>
          <w:rFonts w:ascii="Times New Roman" w:hAnsi="Times New Roman" w:eastAsia="NSimSun" w:cs="Mangal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6"/>
          <w:sz w:val="26"/>
          <w:szCs w:val="26"/>
          <w:u w:val="none"/>
          <w:shd w:fill="auto" w:val="clear"/>
          <w:vertAlign w:val="baseline"/>
          <w:em w:val="none"/>
          <w:lang w:val="ru-RU" w:eastAsia="zh-CN" w:bidi="hi-IN"/>
        </w:rPr>
      </w:pPr>
      <w:r>
        <w:rPr/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3"/>
    <w:lvlOverride w:ilvl="0">
      <w:startOverride w:val="1"/>
    </w:lvlOverride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  <w:suppressAutoHyphens w:val="true"/>
    </w:pPr>
    <w:rPr/>
  </w:style>
  <w:style w:type="paragraph" w:styleId="Style20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21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2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3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4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5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1719</TotalTime>
  <Application>LibreOffice/7.6.7.2$Linux_X86_64 LibreOffice_project/60$Build-2</Application>
  <AppVersion>15.0000</AppVersion>
  <Pages>8</Pages>
  <Words>2244</Words>
  <Characters>16873</Characters>
  <CharactersWithSpaces>19070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2026-04-06T15:19:49Z</cp:lastPrinted>
  <dcterms:modified xsi:type="dcterms:W3CDTF">2026-04-09T15:22:19Z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