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BodyText"/>
        <w:rPr>
          <w:sz w:val="22"/>
        </w:rPr>
      </w:pPr>
      <w:r>
        <w:rPr>
          <w:szCs w:val="28"/>
        </w:rPr>
        <w:t>А</w:t>
      </w:r>
      <w:r>
        <w:rPr>
          <w:sz w:val="22"/>
        </w:rPr>
        <w:t xml:space="preserve">ДМИНИСТРАЦИЯ </w:t>
      </w:r>
      <w:r>
        <w:rPr>
          <w:szCs w:val="28"/>
        </w:rPr>
        <w:t>В</w:t>
      </w:r>
      <w:r>
        <w:rPr>
          <w:sz w:val="22"/>
        </w:rPr>
        <w:t xml:space="preserve">ИЛЮЧИНСКОГО ГОРОДСКОГО ОКРУГА </w:t>
      </w:r>
    </w:p>
    <w:p>
      <w:pPr>
        <w:pStyle w:val="BodyText"/>
        <w:rPr>
          <w:sz w:val="22"/>
        </w:rPr>
      </w:pPr>
      <w:r>
        <w:rPr>
          <w:sz w:val="22"/>
        </w:rPr>
        <w:t xml:space="preserve">ЗАКРЫТОГО АДМИНИСТРАТИВНО-ТЕРРИТОРИАЛЬНОГО ОБРАЗОВАНИЯ </w:t>
      </w:r>
    </w:p>
    <w:p>
      <w:pPr>
        <w:pStyle w:val="BodyText"/>
        <w:rPr>
          <w:sz w:val="28"/>
        </w:rPr>
      </w:pPr>
      <w:r>
        <w:rPr>
          <w:sz w:val="22"/>
        </w:rPr>
        <w:t xml:space="preserve">ГОРОДА </w:t>
      </w:r>
      <w:r>
        <w:rPr>
          <w:szCs w:val="28"/>
        </w:rPr>
        <w:t>В</w:t>
      </w:r>
      <w:r>
        <w:rPr>
          <w:sz w:val="22"/>
        </w:rPr>
        <w:t xml:space="preserve">ИЛЮЧИНСКА </w:t>
      </w:r>
      <w:r>
        <w:rPr>
          <w:szCs w:val="28"/>
        </w:rPr>
        <w:t>К</w:t>
      </w:r>
      <w:r>
        <w:rPr>
          <w:sz w:val="22"/>
        </w:rPr>
        <w:t>АМЧАТСКОГО КРАЯ</w:t>
      </w:r>
    </w:p>
    <w:p>
      <w:pPr>
        <w:pStyle w:val="Normal"/>
        <w:jc w:val="center"/>
        <w:rPr>
          <w:sz w:val="28"/>
        </w:rPr>
      </w:pPr>
      <w:r>
        <w:rPr>
          <w:sz w:val="28"/>
        </w:rPr>
      </w:r>
    </w:p>
    <w:p>
      <w:pPr>
        <w:pStyle w:val="Normal"/>
        <w:jc w:val="center"/>
        <w:rPr>
          <w:sz w:val="28"/>
        </w:rPr>
      </w:pPr>
      <w:r>
        <w:rPr>
          <w:sz w:val="28"/>
        </w:rPr>
      </w:r>
    </w:p>
    <w:p>
      <w:pPr>
        <w:pStyle w:val="Heading1"/>
        <w:numPr>
          <w:ilvl w:val="0"/>
          <w:numId w:val="1"/>
        </w:numPr>
        <w:ind w:hanging="0" w:left="0" w:right="0"/>
        <w:rPr/>
      </w:pPr>
      <w:r>
        <w:rPr/>
        <w:t>П О С Т А Н О В Л Е Н И Е</w:t>
      </w:r>
    </w:p>
    <w:p>
      <w:pPr>
        <w:pStyle w:val="Normal"/>
        <w:jc w:val="center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_______________                                                                                                                                                 </w:t>
      </w:r>
      <w:r>
        <w:rPr>
          <w:sz w:val="28"/>
          <w:szCs w:val="28"/>
          <w:u w:val="single"/>
        </w:rPr>
        <w:t>______</w:t>
      </w:r>
    </w:p>
    <w:p>
      <w:pPr>
        <w:pStyle w:val="Normal"/>
        <w:jc w:val="center"/>
        <w:rPr>
          <w:sz w:val="28"/>
        </w:rPr>
      </w:pPr>
      <w:r>
        <w:rPr>
          <w:sz w:val="22"/>
          <w:szCs w:val="22"/>
        </w:rPr>
        <w:t>г. Вилючинск</w:t>
      </w:r>
    </w:p>
    <w:p>
      <w:pPr>
        <w:pStyle w:val="Normal"/>
        <w:rPr>
          <w:sz w:val="28"/>
        </w:rPr>
      </w:pPr>
      <w:r>
        <w:rPr>
          <w:sz w:val="28"/>
        </w:rPr>
      </w:r>
    </w:p>
    <w:tbl>
      <w:tblPr>
        <w:tblW w:w="5610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610"/>
      </w:tblGrid>
      <w:tr>
        <w:trPr>
          <w:trHeight w:val="3795" w:hRule="atLeast"/>
        </w:trPr>
        <w:tc>
          <w:tcPr>
            <w:tcW w:w="5610" w:type="dxa"/>
            <w:tcBorders/>
          </w:tcPr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Об утверждении Порядка предоставления субсидий на финансовое обеспечение затрат, связанных с выполнением наказов депутатов Законодательного собрания Камчатского края, за счёт средств бюджета Вилючинского городского округа для приобретения мотоциклов, расходных материалов к мототехнике, запасных частей и экипировки для занятия мотоспортом общественной организацией «Камчатская лига экстремального спорта» на  2026 год.</w:t>
            </w:r>
          </w:p>
        </w:tc>
      </w:tr>
    </w:tbl>
    <w:p>
      <w:pPr>
        <w:pStyle w:val="BodyTextIndent"/>
        <w:rPr/>
      </w:pPr>
      <w:r>
        <w:rPr/>
      </w:r>
    </w:p>
    <w:p>
      <w:pPr>
        <w:pStyle w:val="BodyTextIndent"/>
        <w:rPr/>
      </w:pPr>
      <w:r>
        <w:rPr/>
        <w:t xml:space="preserve">Руководствуясь статьями 78, 78.5 Бюджетного кодекса Российской Федерации, Федеральным законом Российской </w:t>
      </w:r>
      <w:r>
        <w:rPr>
          <w:rFonts w:eastAsia="Times New Roman" w:cs="Times New Roman"/>
          <w:i w:val="false"/>
          <w:iCs w:val="false"/>
          <w:color w:val="auto"/>
          <w:sz w:val="28"/>
          <w:szCs w:val="20"/>
          <w:lang w:val="ru-RU" w:eastAsia="zh-CN" w:bidi="ar-SA"/>
        </w:rPr>
        <w:t>Федерации от 2</w:t>
      </w:r>
      <w:r>
        <w:rPr>
          <w:rStyle w:val="Emphasis"/>
          <w:rFonts w:eastAsia="Times New Roman" w:cs="Times New Roman"/>
          <w:i w:val="false"/>
          <w:iCs w:val="false"/>
          <w:color w:val="auto"/>
          <w:sz w:val="28"/>
          <w:szCs w:val="20"/>
          <w:lang w:val="ru-RU" w:eastAsia="zh-CN" w:bidi="ar-SA"/>
        </w:rPr>
        <w:t>0.03.2025 №  33</w:t>
      </w:r>
      <w:r>
        <w:rPr>
          <w:rFonts w:eastAsia="Times New Roman" w:cs="Times New Roman"/>
          <w:i w:val="false"/>
          <w:iCs w:val="false"/>
          <w:color w:val="auto"/>
          <w:sz w:val="28"/>
          <w:szCs w:val="20"/>
          <w:lang w:val="ru-RU" w:eastAsia="zh-CN" w:bidi="ar-SA"/>
        </w:rPr>
        <w:t>-</w:t>
      </w:r>
      <w:r>
        <w:rPr>
          <w:rStyle w:val="Emphasis"/>
          <w:rFonts w:eastAsia="Times New Roman" w:cs="Times New Roman"/>
          <w:i w:val="false"/>
          <w:iCs w:val="false"/>
          <w:color w:val="auto"/>
          <w:sz w:val="28"/>
          <w:szCs w:val="20"/>
          <w:lang w:val="ru-RU" w:eastAsia="zh-CN" w:bidi="ar-SA"/>
        </w:rPr>
        <w:t>ФЗ «</w:t>
      </w:r>
      <w:r>
        <w:rPr>
          <w:rFonts w:eastAsia="Times New Roman" w:cs="Times New Roman"/>
          <w:i w:val="false"/>
          <w:iCs w:val="false"/>
          <w:color w:val="auto"/>
          <w:sz w:val="28"/>
          <w:szCs w:val="20"/>
          <w:lang w:val="ru-RU" w:eastAsia="zh-CN" w:bidi="ar-SA"/>
        </w:rPr>
        <w:t xml:space="preserve">Об общих принципах организации местного самоуправления в единой системе публичной власти», ст. 16 </w:t>
      </w:r>
      <w:r>
        <w:rPr/>
        <w:t>Федерального закона Российской Федерации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 физическим лицам и проведение отборов получателей указанных субсидий, в том числе грантов в форме субсидий», руководствуясь Уставом Вилючинского городского округа,</w:t>
      </w:r>
    </w:p>
    <w:p>
      <w:pPr>
        <w:pStyle w:val="Normal"/>
        <w:ind w:firstLine="720" w:right="0"/>
        <w:jc w:val="both"/>
        <w:rPr>
          <w:sz w:val="28"/>
        </w:rPr>
      </w:pPr>
      <w:r>
        <w:rPr>
          <w:sz w:val="28"/>
        </w:rPr>
      </w:r>
    </w:p>
    <w:p>
      <w:pPr>
        <w:pStyle w:val="Normal"/>
        <w:jc w:val="both"/>
        <w:rPr>
          <w:b w:val="false"/>
          <w:sz w:val="28"/>
        </w:rPr>
      </w:pPr>
      <w:r>
        <w:rPr>
          <w:b/>
          <w:sz w:val="28"/>
        </w:rPr>
        <w:t>ПОСТАНОВЛЯЮ:</w:t>
      </w:r>
    </w:p>
    <w:p>
      <w:pPr>
        <w:pStyle w:val="Heading2"/>
        <w:numPr>
          <w:ilvl w:val="1"/>
          <w:numId w:val="1"/>
        </w:numPr>
        <w:ind w:hanging="0" w:left="0" w:right="0"/>
        <w:jc w:val="both"/>
        <w:rPr>
          <w:b w:val="false"/>
          <w:sz w:val="28"/>
        </w:rPr>
      </w:pPr>
      <w:r>
        <w:rPr>
          <w:b w:val="false"/>
          <w:sz w:val="28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1. Утвердить Порядок предоставления субсидий на финансовое обеспечение затрат для выполнения наказов депутатов Законодательного собрания Камчатского края за счёт средств бюджета Вилючинского городского округа для приобретения мотоциклов, расходных материалов к мототехнике, запасных частей и экипировки для занятия мотоспортом общественной организацией «Камчатская лига экстремального спорта» на 2026 год — согласно приложению к настоящему постановлению.</w:t>
      </w:r>
    </w:p>
    <w:p>
      <w:pPr>
        <w:pStyle w:val="Normal"/>
        <w:jc w:val="both"/>
        <w:rPr>
          <w:sz w:val="28"/>
          <w:szCs w:val="28"/>
        </w:rPr>
      </w:pPr>
      <w:r>
        <w:rPr/>
        <w:tab/>
      </w:r>
      <w:r>
        <w:rPr>
          <w:sz w:val="28"/>
          <w:szCs w:val="28"/>
        </w:rPr>
        <w:t>2. Директору муниципального казенного учреждения «Ресурсно-информационный центр» Вилючинского городского округа О.Ю. Трофимовой разместить настоящее постановление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3. Контроль за исполнением настоящего постановления возложить на начальника управления социальной политики администрации Вилючинского городского округа В.Ю. Фролову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  <w:t>Глава Вилючинского</w:t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</w:t>
        <w:tab/>
        <w:tab/>
        <w:tab/>
        <w:tab/>
        <w:tab/>
        <w:tab/>
        <w:tab/>
        <w:t xml:space="preserve">    О.С. Бондаренко</w:t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right" w:pos="9498" w:leader="none"/>
        </w:tabs>
        <w:ind w:right="-5"/>
        <w:rPr>
          <w:b/>
          <w:sz w:val="28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zh-CN" w:bidi="ar-SA"/>
        </w:rPr>
      </w:r>
    </w:p>
    <w:p>
      <w:pPr>
        <w:pStyle w:val="Normal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zh-CN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zh-CN" w:bidi="ar-SA"/>
        </w:rPr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extDirection w:val="lrTb"/>
      <w:docGrid w:type="default" w:linePitch="27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Open Sans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Courier New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isplayBackgroundShape/>
  <w:defaultTabStop w:val="720"/>
  <w:autoHyphenation w:val="true"/>
  <w:compat>
    <w:doNotBreakWrappedTables/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Tahoma" w:cs="Lohit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jc w:val="center"/>
      <w:outlineLvl w:val="0"/>
    </w:pPr>
    <w:rPr>
      <w:b/>
      <w:sz w:val="40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 w:val="true"/>
      <w:numPr>
        <w:ilvl w:val="3"/>
        <w:numId w:val="1"/>
      </w:numPr>
      <w:outlineLvl w:val="3"/>
    </w:pPr>
    <w:rPr>
      <w:sz w:val="28"/>
    </w:rPr>
  </w:style>
  <w:style w:type="paragraph" w:styleId="Heading5">
    <w:name w:val="Heading 5"/>
    <w:basedOn w:val="Normal"/>
    <w:next w:val="Normal"/>
    <w:qFormat/>
    <w:pPr>
      <w:keepNext w:val="true"/>
      <w:numPr>
        <w:ilvl w:val="4"/>
        <w:numId w:val="1"/>
      </w:numPr>
      <w:jc w:val="center"/>
      <w:outlineLvl w:val="4"/>
    </w:pPr>
    <w:rPr>
      <w:sz w:val="28"/>
    </w:rPr>
  </w:style>
  <w:style w:type="character" w:styleId="WW8Num2z0">
    <w:name w:val="WW8Num2z0"/>
    <w:qFormat/>
    <w:rPr>
      <w:b w:val="false"/>
      <w:bCs w:val="false"/>
    </w:rPr>
  </w:style>
  <w:style w:type="character" w:styleId="1">
    <w:name w:val="Основной шрифт абзаца1"/>
    <w:qFormat/>
    <w:rPr/>
  </w:style>
  <w:style w:type="character" w:styleId="Style9">
    <w:name w:val="Текст выноски Знак"/>
    <w:qFormat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Pr>
      <w:i/>
      <w:iCs/>
    </w:rPr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Droid Sans Fallback" w:cs="Lohit Devanagari"/>
      <w:sz w:val="28"/>
      <w:szCs w:val="28"/>
    </w:rPr>
  </w:style>
  <w:style w:type="paragraph" w:styleId="BodyText">
    <w:name w:val="Body Text"/>
    <w:basedOn w:val="Normal"/>
    <w:pPr>
      <w:jc w:val="center"/>
    </w:pPr>
    <w:rPr>
      <w:sz w:val="28"/>
    </w:rPr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1">
    <w:name w:val="Указатель"/>
    <w:basedOn w:val="Normal"/>
    <w:qFormat/>
    <w:pPr>
      <w:suppressLineNumbers/>
    </w:pPr>
    <w:rPr>
      <w:rFonts w:cs="Lohit Devanagari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1">
    <w:name w:val="Caption1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11">
    <w:name w:val="Caption11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111">
    <w:name w:val="Caption111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11">
    <w:name w:val="Заголовок1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Style12">
    <w:name w:val="Название объекта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2">
    <w:name w:val="Указатель1"/>
    <w:basedOn w:val="Normal"/>
    <w:qFormat/>
    <w:pPr>
      <w:suppressLineNumbers/>
    </w:pPr>
    <w:rPr>
      <w:rFonts w:cs="Mangal"/>
    </w:rPr>
  </w:style>
  <w:style w:type="paragraph" w:styleId="13">
    <w:name w:val="Схема документа1"/>
    <w:basedOn w:val="Normal"/>
    <w:qFormat/>
    <w:pPr>
      <w:shd w:val="clear" w:fill="000080"/>
    </w:pPr>
    <w:rPr>
      <w:rFonts w:ascii="Tahoma" w:hAnsi="Tahoma" w:cs="Tahoma"/>
    </w:rPr>
  </w:style>
  <w:style w:type="paragraph" w:styleId="21">
    <w:name w:val="Основной текст 21"/>
    <w:basedOn w:val="Normal"/>
    <w:qFormat/>
    <w:pPr/>
    <w:rPr>
      <w:sz w:val="28"/>
    </w:rPr>
  </w:style>
  <w:style w:type="paragraph" w:styleId="BodyTextIndent">
    <w:name w:val="Body Text Indent"/>
    <w:basedOn w:val="Normal"/>
    <w:pPr>
      <w:ind w:firstLine="720" w:left="0" w:right="0"/>
      <w:jc w:val="both"/>
    </w:pPr>
    <w:rPr>
      <w:sz w:val="28"/>
    </w:rPr>
  </w:style>
  <w:style w:type="paragraph" w:styleId="ConsPlusNormal">
    <w:name w:val="ConsPlusNormal"/>
    <w:qFormat/>
    <w:pPr>
      <w:widowControl/>
      <w:suppressAutoHyphens w:val="true"/>
      <w:bidi w:val="0"/>
      <w:spacing w:before="0" w:after="0"/>
      <w:ind w:firstLine="720" w:left="0" w:right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zh-CN" w:bidi="ar-SA"/>
    </w:rPr>
  </w:style>
  <w:style w:type="paragraph" w:styleId="ConsPlusNonformat">
    <w:name w:val="ConsPlusNonformat"/>
    <w:qFormat/>
    <w:pPr>
      <w:widowControl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ConsPlusTitle">
    <w:name w:val="ConsPlusTitle"/>
    <w:qFormat/>
    <w:pPr>
      <w:widowControl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b/>
      <w:bCs/>
      <w:color w:val="auto"/>
      <w:kern w:val="0"/>
      <w:sz w:val="20"/>
      <w:szCs w:val="20"/>
      <w:lang w:val="ru-RU" w:eastAsia="zh-CN" w:bidi="ar-SA"/>
    </w:rPr>
  </w:style>
  <w:style w:type="paragraph" w:styleId="Style13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14">
    <w:name w:val="Содержимое таблицы"/>
    <w:basedOn w:val="Normal"/>
    <w:qFormat/>
    <w:pPr>
      <w:widowControl w:val="false"/>
      <w:suppressLineNumbers/>
    </w:pPr>
    <w:rPr/>
  </w:style>
  <w:style w:type="paragraph" w:styleId="Style15">
    <w:name w:val="Заголовок таблицы"/>
    <w:basedOn w:val="Style14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Application>LibreOffice/7.6.7.2$Linux_X86_64 LibreOffice_project/60$Build-2</Application>
  <AppVersion>15.0000</AppVersion>
  <Pages>3</Pages>
  <Words>287</Words>
  <Characters>2213</Characters>
  <CharactersWithSpaces>2649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2023-02-15T09:44:00Z</dcterms:created>
  <dc:creator>123</dc:creator>
  <dc:description/>
  <dc:language>ru-RU</dc:language>
  <cp:lastModifiedBy/>
  <cp:lastPrinted>2026-03-16T10:43:04Z</cp:lastPrinted>
  <dcterms:modified xsi:type="dcterms:W3CDTF">2026-04-09T12:50:57Z</dcterms:modified>
  <cp:revision>19</cp:revision>
  <dc:subject/>
  <dc:title>АДМИНИСТРАЦИЯ ЗАКРЫТОГО АДМИНИСТРАТИВНО-ТЕРРИТОРИАЛЬНОГО                       ОБРАЗОВАНИЯ ГОРОДА ВИЛЮЧИНСКА КАМЧАТСКОЙ ОБЛАСТИ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