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9804" w:type="dxa"/>
        <w:jc w:val="left"/>
        <w:tblInd w:w="-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90"/>
        <w:gridCol w:w="4313"/>
      </w:tblGrid>
      <w:tr>
        <w:trPr>
          <w:trHeight w:val="1701" w:hRule="atLeast"/>
        </w:trPr>
        <w:tc>
          <w:tcPr>
            <w:tcW w:w="5490" w:type="dxa"/>
            <w:tcBorders/>
          </w:tcPr>
          <w:p>
            <w:pPr>
              <w:pStyle w:val="Normal"/>
              <w:snapToGrid w:val="fals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313" w:type="dxa"/>
            <w:tcBorders/>
          </w:tcPr>
          <w:p>
            <w:pPr>
              <w:pStyle w:val="Normal"/>
              <w:jc w:val="right"/>
              <w:rPr>
                <w:u w:val="none"/>
              </w:rPr>
            </w:pPr>
            <w:r>
              <w:rPr>
                <w:rFonts w:ascii="Times New Roman" w:hAnsi="Times New Roman"/>
                <w:sz w:val="28"/>
                <w:szCs w:val="28"/>
                <w:u w:val="none"/>
              </w:rPr>
              <w:t>Приложение</w:t>
            </w:r>
          </w:p>
          <w:p>
            <w:pPr>
              <w:pStyle w:val="Normal"/>
              <w:jc w:val="right"/>
              <w:rPr>
                <w:u w:val="none"/>
              </w:rPr>
            </w:pPr>
            <w:r>
              <w:rPr>
                <w:rFonts w:ascii="Times New Roman" w:hAnsi="Times New Roman"/>
                <w:sz w:val="28"/>
                <w:szCs w:val="28"/>
                <w:u w:val="none"/>
              </w:rPr>
              <w:t>к постановлению  администрации</w:t>
            </w:r>
          </w:p>
          <w:p>
            <w:pPr>
              <w:pStyle w:val="Normal"/>
              <w:jc w:val="left"/>
              <w:rPr>
                <w:u w:val="none"/>
              </w:rPr>
            </w:pPr>
            <w:r>
              <w:rPr>
                <w:rFonts w:ascii="Times New Roman" w:hAnsi="Times New Roman"/>
                <w:sz w:val="28"/>
                <w:szCs w:val="28"/>
                <w:u w:val="none"/>
              </w:rPr>
              <w:t>Вилючинского городского округа</w:t>
            </w:r>
          </w:p>
          <w:p>
            <w:pPr>
              <w:pStyle w:val="Normal"/>
              <w:jc w:val="left"/>
              <w:rPr>
                <w:u w:val="single"/>
              </w:rPr>
            </w:pPr>
            <w:r>
              <w:rPr>
                <w:rFonts w:ascii="Times New Roman" w:hAnsi="Times New Roman"/>
                <w:b w:val="false"/>
                <w:bCs w:val="false"/>
                <w:sz w:val="28"/>
                <w:szCs w:val="28"/>
                <w:u w:val="none"/>
              </w:rPr>
              <w:t xml:space="preserve">от </w:t>
            </w:r>
            <w:r>
              <w:rPr>
                <w:rFonts w:ascii="Times New Roman" w:hAnsi="Times New Roman"/>
                <w:b w:val="false"/>
                <w:bCs w:val="false"/>
                <w:sz w:val="28"/>
                <w:szCs w:val="28"/>
                <w:u w:val="single"/>
              </w:rPr>
              <w:t xml:space="preserve">                                  </w:t>
            </w:r>
            <w:r>
              <w:rPr>
                <w:rFonts w:ascii="Times New Roman" w:hAnsi="Times New Roman"/>
                <w:b w:val="false"/>
                <w:bCs w:val="false"/>
                <w:sz w:val="28"/>
                <w:szCs w:val="28"/>
                <w:u w:val="none"/>
              </w:rPr>
              <w:t>№</w:t>
            </w:r>
            <w:r>
              <w:rPr>
                <w:rFonts w:ascii="Times New Roman" w:hAnsi="Times New Roman"/>
                <w:b w:val="false"/>
                <w:bCs w:val="false"/>
                <w:sz w:val="28"/>
                <w:szCs w:val="28"/>
                <w:u w:val="none"/>
              </w:rPr>
              <w:t>________</w:t>
            </w:r>
          </w:p>
        </w:tc>
      </w:tr>
    </w:tbl>
    <w:p>
      <w:pPr>
        <w:pStyle w:val="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ПОРЯДОК</w:t>
      </w:r>
    </w:p>
    <w:p>
      <w:pPr>
        <w:pStyle w:val="Normal"/>
        <w:jc w:val="center"/>
        <w:rPr/>
      </w:pPr>
      <w:r>
        <w:rPr>
          <w:rStyle w:val="Style14"/>
          <w:rFonts w:ascii="Times New Roman" w:hAnsi="Times New Roman"/>
          <w:b/>
          <w:bCs/>
          <w:sz w:val="28"/>
        </w:rPr>
        <w:t xml:space="preserve">предоставления субсидий на финансовое обеспечение затрат, связанных с выполнением наказов депутатов Законодательного собрания Камчатского края, за счёт средств бюджета Вилючинского городского округа  для приобретения мотоциклов, расходных материалов к мототехнике, запасных частей и экипировки для занятия мотоспортом общественной организацией «Камчатская лига экстремального спорта» </w:t>
      </w:r>
      <w:r>
        <w:rPr>
          <w:rStyle w:val="Style14"/>
          <w:rFonts w:ascii="Times New Roman" w:hAnsi="Times New Roman"/>
          <w:b/>
          <w:bCs/>
          <w:sz w:val="28"/>
          <w:szCs w:val="28"/>
        </w:rPr>
        <w:t xml:space="preserve"> на 2026 год</w:t>
      </w:r>
    </w:p>
    <w:p>
      <w:pPr>
        <w:pStyle w:val="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numPr>
          <w:ilvl w:val="0"/>
          <w:numId w:val="20"/>
        </w:num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Общие положения</w:t>
      </w:r>
    </w:p>
    <w:p>
      <w:pPr>
        <w:pStyle w:val="Normal"/>
        <w:numPr>
          <w:ilvl w:val="0"/>
          <w:numId w:val="0"/>
        </w:numPr>
        <w:ind w:hanging="0" w:left="7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numPr>
          <w:ilvl w:val="1"/>
          <w:numId w:val="21"/>
        </w:numPr>
        <w:tabs>
          <w:tab w:val="clear" w:pos="709"/>
        </w:tabs>
        <w:ind w:firstLine="720" w:left="0"/>
        <w:jc w:val="both"/>
        <w:rPr/>
      </w:pPr>
      <w:r>
        <w:rPr>
          <w:rStyle w:val="Style14"/>
          <w:rFonts w:ascii="Times New Roman" w:hAnsi="Times New Roman"/>
          <w:b w:val="false"/>
          <w:bCs w:val="false"/>
          <w:sz w:val="28"/>
          <w:szCs w:val="28"/>
        </w:rPr>
        <w:t>Настоящий Порядок разработан в соответствии с действующим законодательством Российской Федерации и Уставом Вилючинского городского округа с целью оказания финансовой помощи общественной организаци</w:t>
      </w:r>
      <w:r>
        <w:rPr>
          <w:rStyle w:val="Style14"/>
          <w:rFonts w:ascii="Times New Roman" w:hAnsi="Times New Roman"/>
          <w:b w:val="false"/>
          <w:bCs w:val="false"/>
          <w:sz w:val="28"/>
          <w:szCs w:val="28"/>
        </w:rPr>
        <w:t>и</w:t>
      </w:r>
      <w:r>
        <w:rPr>
          <w:rStyle w:val="Style14"/>
          <w:rFonts w:ascii="Times New Roman" w:hAnsi="Times New Roman"/>
          <w:b w:val="false"/>
          <w:bCs w:val="false"/>
          <w:sz w:val="28"/>
          <w:szCs w:val="28"/>
        </w:rPr>
        <w:t xml:space="preserve"> «Камчатская лига экстремального спорта» на 2026 год для приобретения мотоциклов, расходных материалов к мототехнике, запасных частей и экипировки для занятия мотоспортом в рамках выполнения наказов депутатов Законодательного собрания Камчатского края за счёт средств местного бюджета.</w:t>
      </w:r>
    </w:p>
    <w:p>
      <w:pPr>
        <w:pStyle w:val="Normal"/>
        <w:numPr>
          <w:ilvl w:val="1"/>
          <w:numId w:val="22"/>
        </w:numPr>
        <w:tabs>
          <w:tab w:val="clear" w:pos="709"/>
        </w:tabs>
        <w:ind w:firstLine="709"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 определяет цели, условия предоставления и возврат Субсидии на финансовое обеспечение затрат, связанных с выполнением наказов депутатов Законодательного собрания Камчатского края, за счёт средств бюджета Вилючинского городского округа для приобретения мотоциклов, расходных материалов к мототехнике, запасных частей и экипировки для занятия мотоспортом (далее — Субсидия) в случае нарушения условий, установленных при её предоставлении.</w:t>
      </w:r>
    </w:p>
    <w:p>
      <w:pPr>
        <w:pStyle w:val="Normal"/>
        <w:numPr>
          <w:ilvl w:val="1"/>
          <w:numId w:val="23"/>
        </w:numPr>
        <w:tabs>
          <w:tab w:val="clear" w:pos="709"/>
        </w:tabs>
        <w:ind w:firstLine="709" w:left="0"/>
        <w:jc w:val="both"/>
        <w:rPr/>
      </w:pPr>
      <w:r>
        <w:rPr>
          <w:rStyle w:val="Style14"/>
          <w:rFonts w:ascii="Times New Roman" w:hAnsi="Times New Roman"/>
          <w:b w:val="false"/>
          <w:bCs w:val="false"/>
          <w:sz w:val="28"/>
          <w:szCs w:val="28"/>
        </w:rPr>
        <w:t>Целью расходов Субсидии в соответствии с муниципальной программой «Физическая культура, спорт, молодёжная политика, отдых и оздоровление детей в Вилючинском городском округе» является приобретение мотоциклов, расходных материалов к мототехнике, запасных частей и экипировки для занятия мотоспортом.</w:t>
      </w:r>
    </w:p>
    <w:p>
      <w:pPr>
        <w:pStyle w:val="Normal"/>
        <w:numPr>
          <w:ilvl w:val="1"/>
          <w:numId w:val="24"/>
        </w:numPr>
        <w:tabs>
          <w:tab w:val="clear" w:pos="709"/>
        </w:tabs>
        <w:ind w:firstLine="709"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Предоставление Субсидий на безвозмездной и безвозвратной основе осуществляет главный распорядитель средств местного бюджета — Управление социальной политики администрации Вилючинского городского округа (далее — Управление), которому в соответствии с бюджетным законодательством Российской Федерации как получателю бюджетных средств в установленном порядке доведены лимиты бюджетных обязательств на предоставление Субсидий на соответствующий финансовый год.</w:t>
      </w:r>
    </w:p>
    <w:p>
      <w:pPr>
        <w:pStyle w:val="Normal"/>
        <w:numPr>
          <w:ilvl w:val="1"/>
          <w:numId w:val="25"/>
        </w:numPr>
        <w:tabs>
          <w:tab w:val="clear" w:pos="709"/>
        </w:tabs>
        <w:ind w:firstLine="709" w:left="0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 xml:space="preserve">Получателем субсидии является </w:t>
      </w:r>
      <w:r>
        <w:rPr>
          <w:rStyle w:val="Style14"/>
          <w:rFonts w:ascii="Times New Roman" w:hAnsi="Times New Roman"/>
          <w:sz w:val="28"/>
          <w:szCs w:val="28"/>
        </w:rPr>
        <w:t>О</w:t>
      </w:r>
      <w:r>
        <w:rPr>
          <w:rStyle w:val="Style14"/>
          <w:rFonts w:ascii="Times New Roman" w:hAnsi="Times New Roman"/>
          <w:sz w:val="28"/>
          <w:szCs w:val="28"/>
        </w:rPr>
        <w:t>бщественн</w:t>
      </w:r>
      <w:r>
        <w:rPr>
          <w:rStyle w:val="Style14"/>
          <w:rFonts w:ascii="Times New Roman" w:hAnsi="Times New Roman"/>
          <w:sz w:val="28"/>
          <w:szCs w:val="28"/>
        </w:rPr>
        <w:t>ая</w:t>
      </w:r>
      <w:r>
        <w:rPr>
          <w:rStyle w:val="Style14"/>
          <w:rFonts w:ascii="Times New Roman" w:hAnsi="Times New Roman"/>
          <w:sz w:val="28"/>
          <w:szCs w:val="28"/>
        </w:rPr>
        <w:t xml:space="preserve"> организаци</w:t>
      </w:r>
      <w:r>
        <w:rPr>
          <w:rStyle w:val="Style14"/>
          <w:rFonts w:ascii="Times New Roman" w:hAnsi="Times New Roman"/>
          <w:sz w:val="28"/>
          <w:szCs w:val="28"/>
        </w:rPr>
        <w:t>я</w:t>
      </w:r>
      <w:r>
        <w:rPr>
          <w:rStyle w:val="Style14"/>
          <w:rFonts w:ascii="Times New Roman" w:hAnsi="Times New Roman"/>
          <w:sz w:val="28"/>
          <w:szCs w:val="28"/>
        </w:rPr>
        <w:t xml:space="preserve"> «Камчатская лига экстремального спорта» (далее — Получатель) в соответствии с Решением Думы Вилючинского городского округа от 22.12.2025 № 31/7</w:t>
        <w:noBreakHyphen/>
        <w:t>8 «О местном бюджете на 2026 год и на плановый период 2027 и 2028 годов».</w:t>
      </w:r>
    </w:p>
    <w:p>
      <w:pPr>
        <w:pStyle w:val="Normal"/>
        <w:numPr>
          <w:ilvl w:val="1"/>
          <w:numId w:val="26"/>
        </w:numPr>
        <w:tabs>
          <w:tab w:val="clear" w:pos="709"/>
        </w:tabs>
        <w:ind w:firstLine="709" w:left="0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>Сведения о Субсидиях размещаются на едином портале бюджетной системы Российской Федерации в информационно</w:t>
        <w:noBreakHyphen/>
        <w:t>телекоммуникационной сети «Интернет» (далее — единый портал) в порядке, установленном Министерством финансов Российской Федерации.</w:t>
      </w:r>
    </w:p>
    <w:p>
      <w:pPr>
        <w:pStyle w:val="Normal"/>
        <w:numPr>
          <w:ilvl w:val="1"/>
          <w:numId w:val="27"/>
        </w:numPr>
        <w:tabs>
          <w:tab w:val="clear" w:pos="709"/>
        </w:tabs>
        <w:ind w:firstLine="709" w:left="0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>Субсидия предоставляется в форме финансового обеспечения затрат.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28"/>
        </w:numPr>
        <w:jc w:val="center"/>
        <w:rPr/>
      </w:pPr>
      <w:r>
        <w:rPr>
          <w:rStyle w:val="Style14"/>
          <w:rFonts w:ascii="Times New Roman" w:hAnsi="Times New Roman"/>
          <w:b/>
          <w:sz w:val="28"/>
          <w:szCs w:val="28"/>
        </w:rPr>
        <w:t>Условия и порядок предоставления Субсидии</w:t>
      </w:r>
    </w:p>
    <w:p>
      <w:pPr>
        <w:pStyle w:val="Normal"/>
        <w:numPr>
          <w:ilvl w:val="0"/>
          <w:numId w:val="0"/>
        </w:numPr>
        <w:ind w:hanging="0" w:left="720"/>
        <w:jc w:val="center"/>
        <w:rPr>
          <w:rStyle w:val="Style14"/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numPr>
          <w:ilvl w:val="1"/>
          <w:numId w:val="29"/>
        </w:numPr>
        <w:tabs>
          <w:tab w:val="clear" w:pos="709"/>
        </w:tabs>
        <w:ind w:firstLine="720"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Основанием для предоставления Субсидии являются следующие документы:</w:t>
      </w:r>
    </w:p>
    <w:p>
      <w:pPr>
        <w:pStyle w:val="Normal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заявление о предоставлении Субсидии по форме согласно приложению № 1 к настоящему Порядку, подписанное руководителем Получателя субсидии (далее – Заявление);</w:t>
      </w:r>
    </w:p>
    <w:p>
      <w:pPr>
        <w:pStyle w:val="Normal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выписка из Единого государственного реестра юридических лиц по состоянию на дату, которая предшествует дате подачи Заявления не более чем на 30 дней;</w:t>
      </w:r>
    </w:p>
    <w:p>
      <w:pPr>
        <w:pStyle w:val="Normal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смета расходов, источником финансового обеспечения которых является Субсидия;</w:t>
      </w:r>
    </w:p>
    <w:p>
      <w:pPr>
        <w:pStyle w:val="Normal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справка, подтверждающая, что Получатель субсидии соответствует требованиям, указанным в пункте 2.13 настоящего Порядка;</w:t>
      </w:r>
    </w:p>
    <w:p>
      <w:pPr>
        <w:pStyle w:val="Normal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согласие на публикацию (размещение) в сети «Интернет» информации о Получателе субсидии, о подаваемой Получателем субсидии заявке, а также на обработку персональных данных руководителя Получателя субсидии.</w:t>
      </w:r>
    </w:p>
    <w:p>
      <w:pPr>
        <w:pStyle w:val="Normal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Выписку из Единого государственного реестра юридических лиц Управление запрашивает самостоятельно в рамках межведомственного информационного взаимодействия. Получатель субсидии вправе предоставить выписку из Единого государственного реестра юридических лиц по собственной инициативе.</w:t>
      </w:r>
    </w:p>
    <w:p>
      <w:pPr>
        <w:pStyle w:val="Normal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 </w:t>
      </w:r>
      <w:r>
        <w:rPr>
          <w:rFonts w:ascii="Times New Roman" w:hAnsi="Times New Roman"/>
          <w:sz w:val="28"/>
          <w:szCs w:val="28"/>
          <w:shd w:fill="auto" w:val="clear"/>
        </w:rPr>
        <w:t>Направлением расходов Субсидии являются: приобретени</w:t>
      </w:r>
      <w:r>
        <w:rPr>
          <w:rFonts w:ascii="Times New Roman" w:hAnsi="Times New Roman"/>
          <w:sz w:val="28"/>
          <w:szCs w:val="28"/>
          <w:shd w:fill="auto" w:val="clear"/>
        </w:rPr>
        <w:t>е</w:t>
      </w:r>
      <w:r>
        <w:rPr>
          <w:rFonts w:ascii="Times New Roman" w:hAnsi="Times New Roman"/>
          <w:sz w:val="28"/>
          <w:szCs w:val="28"/>
          <w:shd w:fill="auto" w:val="clear"/>
        </w:rPr>
        <w:t xml:space="preserve"> мотоциклов, расходных материалов к мототехнике, запасных частей и экипировки для заняти</w:t>
      </w:r>
      <w:r>
        <w:rPr>
          <w:rFonts w:ascii="Times New Roman" w:hAnsi="Times New Roman"/>
          <w:sz w:val="28"/>
          <w:szCs w:val="28"/>
          <w:shd w:fill="auto" w:val="clear"/>
        </w:rPr>
        <w:t>й</w:t>
      </w:r>
      <w:r>
        <w:rPr>
          <w:rFonts w:ascii="Times New Roman" w:hAnsi="Times New Roman"/>
          <w:sz w:val="28"/>
          <w:szCs w:val="28"/>
          <w:shd w:fill="auto" w:val="clear"/>
        </w:rPr>
        <w:t xml:space="preserve"> мотоспортом.</w:t>
      </w:r>
    </w:p>
    <w:p>
      <w:pPr>
        <w:pStyle w:val="Normal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 Управление рассматривает поступившие документы в течение 5 (пяти) рабочих дней со дня их регистрации. Управление осуществляет проверку достоверности сведений, представляемых Получателем субсидии, и принимает решение о предоставлении Субсидии либо об отказе в её предоставлении. О принятом решении Получатель субсидии уведомляется в письменной форме в течение 3 (трёх) рабочих дней после завершения рассмотрения документов.</w:t>
      </w:r>
    </w:p>
    <w:p>
      <w:pPr>
        <w:pStyle w:val="Normal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 Основанием для отказа в предоставлении Субсидии являются: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несоответствие представленных Получателем субсидии документов требованиям, установленным настоящим Порядком, или непредставление (представление не в полном объёме) указанных документов;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установление факта недостоверности представленной Получателем субсидии информации.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2.5. Субсидия предоставляется за счёт средств бюджета Вилючинского городского округа. Размер Субсидии определён Решением Думы Вилючинского городского округа от 22.12.2025 № 31/7-8 «О местном бюджете на 2026 год и на плановый период 2027 и 2028 годов». Размер Субсидии не может превышать размер утверждённых лимитов бюджетных обязательств на текущий финансовый год на данные цели.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2.6. Получатель Субсидии, в отношении которого принято решение о предоставлении Субсидии, в течение 5 (пяти) рабочих дней со дня принятия такого решения заключает с Управлением </w:t>
      </w:r>
      <w:r>
        <w:rPr>
          <w:rFonts w:ascii="Times New Roman" w:hAnsi="Times New Roman"/>
          <w:sz w:val="28"/>
          <w:szCs w:val="28"/>
          <w:shd w:fill="auto" w:val="clear"/>
        </w:rPr>
        <w:t xml:space="preserve">соглашение </w:t>
      </w:r>
      <w:r>
        <w:rPr>
          <w:rFonts w:eastAsia="" w:cs="Times New Roman" w:ascii="Times New Roman" w:hAnsi="Times New Roman"/>
          <w:b w:val="false"/>
          <w:bCs w:val="false"/>
          <w:sz w:val="28"/>
          <w:szCs w:val="28"/>
          <w:shd w:fill="auto" w:val="clear"/>
          <w:lang w:eastAsia="ru-RU"/>
        </w:rPr>
        <w:t xml:space="preserve">о предоставлении из местного бюджета субсидий, </w:t>
      </w:r>
      <w:r>
        <w:rPr>
          <w:rFonts w:eastAsia="" w:cs="Times New Roman"/>
          <w:b w:val="false"/>
          <w:bCs w:val="false"/>
          <w:sz w:val="28"/>
          <w:szCs w:val="28"/>
          <w:shd w:fill="auto" w:val="clear"/>
          <w:lang w:eastAsia="ru-RU"/>
        </w:rPr>
        <w:t xml:space="preserve">в том числе грантов в форме субсидий, юридическим лицам, </w:t>
      </w:r>
      <w:r>
        <w:rPr>
          <w:rFonts w:eastAsia="" w:cs="Times New Roman" w:ascii="Times New Roman" w:hAnsi="Times New Roman"/>
          <w:b w:val="false"/>
          <w:bCs w:val="false"/>
          <w:sz w:val="28"/>
          <w:szCs w:val="28"/>
          <w:shd w:fill="auto" w:val="clear"/>
          <w:lang w:eastAsia="ru-RU"/>
        </w:rPr>
        <w:t>индивидуальным предпринимателям, некоммерческим организациям не являющимся муниципальным учреждением, а также физическим лицам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 xml:space="preserve"> (далее — Соглашение).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2.7. Соглашение, дополнительное соглашение к Соглашению, в том числе дополнительное соглашение о расторжении Соглашения заключаются в соответствии с типовой формой, установленной приказом финансового управления администрации Вилючинского городского округа от 30.06.2023 № 55 (с изменениями) «Об утверждении типовой формы соглашения (договора) о предоставлении из местного бюджета субсидий, в том числе грантов в форме субсидий, юридическим лицам, индивидуальным предпринимателям, а также физическим лицам» (далее — Приказ № 55).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2.8. В Соглашении предусматриваются следующие условия: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целевое назначение и размер Субсидии;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-порядок и сроки предоставления отчетности об использовании Субсидии;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порядок и сроки возврата Получателем субсидии средств Субсидии в случае выявления факта ее нецелевого использования;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порядок и срок возврата неиспользованных в текущем финансовом году средств Субсидии;</w:t>
      </w:r>
    </w:p>
    <w:p>
      <w:pPr>
        <w:pStyle w:val="Normal"/>
        <w:ind w:firstLine="709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>- запрет приобретения Получателем субсидии, а также иными юридическими лицами на основании договоров, заключенных с Получателем субсидии, иностранной валюты за счет полученных средств,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результатов предоставления этих средств иных операций, определенных настоящим Порядком;</w:t>
      </w:r>
    </w:p>
    <w:p>
      <w:pPr>
        <w:pStyle w:val="Normal"/>
        <w:ind w:firstLine="709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>- согласие Получателя субсидии, лиц, получающих средства на основании договоров, заключённых с Получателем субсидии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коммерческих организаций с участием таких товариществ и обществ в их уставных (складочных) капиталах), на осуществление Управлением в отношении их проверки  на соблюдение порядка и условий предоставления субсидии, в том числе в части достижения результатов предоставления Субсидии, а также проверки органами муниципального финансового контроля в соответствии со статьями 268.1 и 269.2 Бюджетного кодекса Российской Федерации, и на включение таких положений в Соглашение;</w:t>
      </w:r>
    </w:p>
    <w:p>
      <w:pPr>
        <w:pStyle w:val="Normal"/>
        <w:ind w:firstLine="709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>-  результаты предоставления Субсидии:</w:t>
      </w:r>
      <w:r>
        <w:rPr>
          <w:rStyle w:val="Style14"/>
          <w:rFonts w:ascii="Times New Roman" w:hAnsi="Times New Roman"/>
          <w:sz w:val="28"/>
        </w:rPr>
        <w:t xml:space="preserve"> приобретение спортивной формы, спортивного инвентаря и оплата проезда несовершеннолетних спортсменов и тренера для участия в соревнованиях и тренировочных сборах за пределами Камчатского края</w:t>
      </w:r>
      <w:r>
        <w:rPr>
          <w:rStyle w:val="Style14"/>
          <w:rFonts w:ascii="Times New Roman" w:hAnsi="Times New Roman"/>
          <w:sz w:val="28"/>
          <w:szCs w:val="28"/>
        </w:rPr>
        <w:t>;</w:t>
      </w:r>
    </w:p>
    <w:p>
      <w:pPr>
        <w:pStyle w:val="Normal"/>
        <w:ind w:firstLine="709"/>
        <w:jc w:val="both"/>
        <w:rPr/>
      </w:pPr>
      <w:r>
        <w:rPr>
          <w:rStyle w:val="Style14"/>
          <w:rFonts w:ascii="Times New Roman" w:hAnsi="Times New Roman"/>
          <w:sz w:val="28"/>
        </w:rPr>
        <w:t xml:space="preserve">- показатели, необходимые для достижения результатов предоставления Субсидии: </w:t>
      </w:r>
      <w:r>
        <w:rPr>
          <w:rStyle w:val="Style14"/>
          <w:rFonts w:ascii="Times New Roman" w:hAnsi="Times New Roman"/>
          <w:b w:val="false"/>
          <w:bCs w:val="false"/>
          <w:sz w:val="28"/>
          <w:szCs w:val="28"/>
        </w:rPr>
        <w:t>приобретение спортивной формы, спортивного инвентаря и оплата проезда несовершеннолетних спортсменов и тренера для участия в соревнованиях и тренировочных сборах за пределами Камчатского края</w:t>
      </w:r>
      <w:r>
        <w:rPr>
          <w:rStyle w:val="Style14"/>
          <w:rFonts w:ascii="Times New Roman" w:hAnsi="Times New Roman"/>
          <w:sz w:val="28"/>
        </w:rPr>
        <w:t>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случае уменьшения главному распорядителю как получателю бюджетных средств ранее доведённых лимитов бюджетных обязательств, приводящих к невозможности предоставления Субсидии в размере, определённом в Соглашении, заключается дополнительное соглашение к Соглашению о согласовании новых условий Соглашения или дополнительное соглашение о расторжении Соглашения при недостижении согласия по новым условиям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2.9. Субсидия перечисляется Управлением на расчётный счёт Получателя субсидии, открытый в кредитной организации, в пределах доведённых объёмов финансирования, в соответствии с условиями и в срок, определёнными Соглашением.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2.10. Получатель субсидии после зачисления средств на расчётный счёт обязан в срок, установленный Соглашением, представить в Управление сведения о достигнутых результатах предоставления Субсидии, под которыми понимаются количество приобретен</w:t>
      </w:r>
      <w:r>
        <w:rPr>
          <w:rFonts w:ascii="Times New Roman" w:hAnsi="Times New Roman"/>
          <w:sz w:val="28"/>
          <w:szCs w:val="28"/>
        </w:rPr>
        <w:t>ных</w:t>
      </w:r>
      <w:r>
        <w:rPr>
          <w:rFonts w:ascii="Times New Roman" w:hAnsi="Times New Roman"/>
          <w:sz w:val="28"/>
          <w:szCs w:val="28"/>
        </w:rPr>
        <w:t xml:space="preserve"> мотоциклов, расходных материалов к мототехнике, запасных частей и экипировки для занятия мотоспортом. Кроме того, необходимо предоставить заверенные копии платёжных поручений, договоров, актов выполненных работ и иных документов (при необходимости), подтверждающих расходование средств по направлениям расходов, указанным в п. 2.2 настоящего Порядка.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2.11. При реорганизации Получателя субсидии, являющегося юридическим лицом, в форме слияния, присоединения или преобразования в Соглашение вносятся изменения путём заключения дополнительного соглашения к Соглашению в части перемены лица в обязательстве с указанием в Соглашении юридического лица, являющегося правопреемником.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2.12. При реорганизации Получателя субсидии, являющегося юридическим лицом, в форме разделения, выделения, а также при ликвидации Получателя субсидии, являющегося юридическим лицом,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Получателем субсидии обязательствах, источником финансового обеспечения которых является Субсидия, и возврате неиспользованного остатка Субсидии в бюджет Вилючинского городского округа.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2.13. Требования, которым должен соответствовать Получатель субсидии на первое число месяца, предшествующего месяцу, в котором планируется заключение Соглашения: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Получатель субсидии не должен получать средства из бюджета Вилючинского городского округа на цели, указанные в пункте 1.3 Порядка, в соответствии с иными нормативными правовыми актами Вилючинского городского округа;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 Получателя субсидии должна отсутствовать или не превышать размер, определённый п. 3 ст. 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Федерации, а также отсутствовать просроченная задолженность по возврату в бюджет Вилючинского городского округа Субсидий, бюджетных инвестиций, представленных в том числе в соответствии с иными правовыми актами, а также иная просроченная (неурегулированная) задолженность по денежным обязательствам перед бюджетом Вилючинского городского округа;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Получатель субсидии не должен находиться в процессе реорганизации (за исключением реорганизации в форме присоединения к юридическому лицу, являющемуся Получателем субсидии), ликвидации, в отношении него не введена процедура банкротства, деятельность Получателя субсидии не приостановлена в порядке, предусмотренном законодательством Российской Федерации;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реестре дисквалифицированных лиц отсутствуют сведения о дисквалифицированных руководителе или главном бухгалтере Получателя субсидии;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Получатель субсидии не должен являться иностранным юридическим лицом, в том числе таким, местом регистрации которого является государство или территория, включённая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—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Получатель субсидии не является иностранным агентом в соответствии с Федеральным законом от 14.07.2022 № 255-ФЗ «О контроле за деятельностью лиц, находящихся под иностранным влиянием»;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Получатель субсидии не должен находиться в перечне организаций и физических лиц, в отношении которых имеются сведения об их причастности к экстремистской деятельности или терроризму, либо в перечне организаций и физических лиц, в отношении которых имеются сведения об их причастности к распространению оружия массового уничтожения;</w:t>
      </w:r>
    </w:p>
    <w:p>
      <w:pPr>
        <w:pStyle w:val="Normal"/>
        <w:ind w:firstLine="709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 xml:space="preserve">- Получатель субсидии не находится в составляемых в рамках реализации полномочий, предусмотренных главой </w:t>
      </w:r>
      <w:r>
        <w:rPr>
          <w:rStyle w:val="Style14"/>
          <w:rFonts w:ascii="Times New Roman" w:hAnsi="Times New Roman"/>
          <w:sz w:val="28"/>
          <w:szCs w:val="28"/>
          <w:lang w:val="en-US"/>
        </w:rPr>
        <w:t>VII</w:t>
      </w:r>
      <w:r>
        <w:rPr>
          <w:rStyle w:val="Style14"/>
          <w:rFonts w:ascii="Times New Roman" w:hAnsi="Times New Roman"/>
          <w:sz w:val="28"/>
          <w:szCs w:val="28"/>
        </w:rPr>
        <w:t xml:space="preserve"> Устава ООН, Советом Безопасности ООН и органами, специально созданными решениями Совета Безопасности ООН, перечнях организаций, связанных с террористическими организациями и террористами или распространением оружия массового поражения.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проверки Получателя Субсидии Управление получает соответствующие сведения из Единого государственного реестра юридических лиц, осуществляет сверку данных на официальном сайте Федеральной налоговой службы Российской Федерации (в разделе «Поиск сведений в реестре дисквалифицированных лиц») и на официальном сайте Росфинмониторинга (в разделе «Перечень организаций и физических лиц, в отношении которых имеются сведения об их причастности к экстремистской деятельности или терроризму»), а также запрашивает сведения о наличии просроченной задолженности перед бюджетом Вилючинского городского округа.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30"/>
        </w:num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Требования к отчетности</w:t>
      </w:r>
    </w:p>
    <w:p>
      <w:pPr>
        <w:pStyle w:val="Normal"/>
        <w:numPr>
          <w:ilvl w:val="0"/>
          <w:numId w:val="0"/>
        </w:numPr>
        <w:ind w:hanging="0" w:left="7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Style w:val="Style14"/>
          <w:rFonts w:ascii="Times New Roman" w:hAnsi="Times New Roman"/>
          <w:sz w:val="28"/>
          <w:szCs w:val="28"/>
        </w:rPr>
        <w:tab/>
        <w:t>3.1. Получатель субсидии предоставляет в Управление: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Style w:val="Style14"/>
          <w:rFonts w:ascii="Times New Roman" w:hAnsi="Times New Roman"/>
          <w:sz w:val="28"/>
          <w:szCs w:val="28"/>
        </w:rPr>
        <w:tab/>
        <w:t>- отчёт об осуществлении расходов, источником финансового обеспечения которых является Субсидия, — по форме, определённой приказом № 55, ежеквартально, в срок до 1</w:t>
        <w:noBreakHyphen/>
        <w:t>го числа месяца, следующего за отчётным периодом, до момента окончательного использования Получателем субсидии, но не позднее 1 декабря 2026 года;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Style w:val="Style14"/>
          <w:rFonts w:ascii="Times New Roman" w:hAnsi="Times New Roman"/>
          <w:sz w:val="28"/>
          <w:szCs w:val="28"/>
        </w:rPr>
        <w:tab/>
        <w:t>-отчёт о достигнутых значениях результата предоставления Субсидии — по форме, определённой приказом № 55, ежеквартально, в срок до 1</w:t>
        <w:noBreakHyphen/>
        <w:t>го числа месяца, следующего за отчётным периодом, до момента окончательного использования Субсидии, но не позднее 1 декабря 2026 года.</w:t>
      </w:r>
    </w:p>
    <w:p>
      <w:pPr>
        <w:pStyle w:val="Normal"/>
        <w:ind w:firstLine="720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>3.2. Управление осуществляет проверку отчётов, устанавливает полноту и достоверность сведений, содержащихся в отчётах, прилагаемых к ним документах и материалах, в течение 10 рабочих дней со дня их получения.</w:t>
      </w:r>
    </w:p>
    <w:p>
      <w:pPr>
        <w:pStyle w:val="Normal"/>
        <w:ind w:firstLine="720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>Отчёты, указанные в пункте 3.1 настоящего Порядка, считаются принятыми после направления Получателю субсидии уведомления, подписанного руководителем Управления или уполномоченным им лицом, — посредством почтового отправления, электронной связи либо нарочно.</w:t>
      </w:r>
    </w:p>
    <w:p>
      <w:pPr>
        <w:pStyle w:val="Normal"/>
        <w:ind w:firstLine="709"/>
        <w:jc w:val="both"/>
        <w:rPr/>
      </w:pPr>
      <w:r>
        <w:rPr>
          <w:rStyle w:val="Style14"/>
          <w:rFonts w:ascii="Times New Roman" w:hAnsi="Times New Roman"/>
          <w:sz w:val="28"/>
        </w:rPr>
        <w:t>Отчёты, указанные в пункте 3.1 настоящего Порядка, считаются непринятыми после направления Получателю субсидии уведомления, подписанного руководителем Управления (или уполномоченным им лицом), посредством почтового отправления, электронной связи либо нарочным.</w:t>
      </w:r>
    </w:p>
    <w:p>
      <w:pPr>
        <w:pStyle w:val="Normal"/>
        <w:ind w:firstLine="709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>Основания для признания отчётов непринятыми:</w:t>
      </w:r>
    </w:p>
    <w:p>
      <w:pPr>
        <w:pStyle w:val="Normal"/>
        <w:numPr>
          <w:ilvl w:val="0"/>
          <w:numId w:val="2"/>
        </w:numPr>
        <w:ind w:firstLine="709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>непредставление либо представление не в полном объёме отчётов, указанных в пункте 3.1 настоящего Порядка;</w:t>
      </w:r>
    </w:p>
    <w:p>
      <w:pPr>
        <w:pStyle w:val="Normal"/>
        <w:numPr>
          <w:ilvl w:val="0"/>
          <w:numId w:val="2"/>
        </w:numPr>
        <w:ind w:firstLine="709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>некорректное заполнение либо незаполнение Получателем субсидии всех обязательных для заполнения граф, предусмотренных в отчётах;</w:t>
      </w:r>
    </w:p>
    <w:p>
      <w:pPr>
        <w:pStyle w:val="Normal"/>
        <w:numPr>
          <w:ilvl w:val="0"/>
          <w:numId w:val="2"/>
        </w:numPr>
        <w:ind w:firstLine="709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>предоставление отчётов с нарушением сроков, указанных в пункте 3.1 настоящего Порядка.</w:t>
      </w:r>
    </w:p>
    <w:p>
      <w:pPr>
        <w:pStyle w:val="Normal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numPr>
          <w:ilvl w:val="0"/>
          <w:numId w:val="31"/>
        </w:num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Требования к осуществлению контроля (мониторинга) за соблюдением условий и порядка предоставления Субсидии</w:t>
      </w:r>
    </w:p>
    <w:p>
      <w:pPr>
        <w:pStyle w:val="Normal"/>
        <w:tabs>
          <w:tab w:val="clear" w:pos="709"/>
        </w:tabs>
        <w:ind w:left="7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 ответственности за их нарушение</w:t>
      </w:r>
    </w:p>
    <w:p>
      <w:pPr>
        <w:pStyle w:val="Normal"/>
        <w:tabs>
          <w:tab w:val="clear" w:pos="709"/>
        </w:tabs>
        <w:ind w:left="7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numPr>
          <w:ilvl w:val="1"/>
          <w:numId w:val="32"/>
        </w:numPr>
        <w:tabs>
          <w:tab w:val="clear" w:pos="709"/>
        </w:tabs>
        <w:ind w:firstLine="709" w:left="0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>Управление осуществляет проверку соблюдения Получателем субсидии порядка и условий её предоставления, в том числе в части достижения результатов предоставления Субсидии. Орган муниципального финансового контроля проводит проверку в соответствии со статьёй 268.1 Бюджетного кодекса Российской Федерации. В соответствии со статьёй 269.2 Бюджетного кодекса Российской Федерации проверку осуществляет уполномоченный сотрудник администрации Вилючинского городского округа.</w:t>
      </w:r>
    </w:p>
    <w:p>
      <w:pPr>
        <w:pStyle w:val="Normal"/>
        <w:numPr>
          <w:ilvl w:val="1"/>
          <w:numId w:val="33"/>
        </w:numPr>
        <w:tabs>
          <w:tab w:val="clear" w:pos="709"/>
        </w:tabs>
        <w:ind w:firstLine="709"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нарушения условий предоставления Субсидии, недостижения установленных значений результата её использования либо нецелевого использования Субсидии она подлежит возврату в местный бюджет в течение 10 (десяти) рабочих дней со дня выявления указанных нарушений.</w:t>
      </w:r>
    </w:p>
    <w:p>
      <w:pPr>
        <w:pStyle w:val="Normal"/>
        <w:numPr>
          <w:ilvl w:val="1"/>
          <w:numId w:val="34"/>
        </w:numPr>
        <w:tabs>
          <w:tab w:val="clear" w:pos="709"/>
        </w:tabs>
        <w:ind w:firstLine="709"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Остаток средств Субсидии, не израсходованный в текущем финансовом году, подлежит обязательному возврату в местный бюджет не позднее 10 декабря текущего финансового года.</w:t>
      </w:r>
    </w:p>
    <w:p>
      <w:pPr>
        <w:pStyle w:val="Normal"/>
        <w:numPr>
          <w:ilvl w:val="1"/>
          <w:numId w:val="35"/>
        </w:numPr>
        <w:tabs>
          <w:tab w:val="clear" w:pos="709"/>
        </w:tabs>
        <w:ind w:firstLine="709"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нарушения Получателем субсидии положений пунктов 4.2 и 4.3 раздела 4 настоящего Порядка взыскание Субсидии в местный бюджет осуществляется в судебном порядке в соответствии с законодательством Российской Федерации.</w:t>
      </w:r>
    </w:p>
    <w:p>
      <w:pPr>
        <w:pStyle w:val="Normal"/>
        <w:numPr>
          <w:ilvl w:val="1"/>
          <w:numId w:val="36"/>
        </w:numPr>
        <w:tabs>
          <w:tab w:val="clear" w:pos="709"/>
        </w:tabs>
        <w:ind w:firstLine="709"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Управление проводит мониторинг достижения результатов предоставления Субсидии на основании значений, установленных Соглашением о предоставлении Субсидии, которые подтверждают факт завершения соответствующих мероприятий, предусмотренных для достижения этих результатов.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BodyText"/>
        <w:spacing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tbl>
      <w:tblPr>
        <w:tblW w:w="9628" w:type="dxa"/>
        <w:jc w:val="left"/>
        <w:tblInd w:w="-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5"/>
        <w:gridCol w:w="5372"/>
      </w:tblGrid>
      <w:tr>
        <w:trPr/>
        <w:tc>
          <w:tcPr>
            <w:tcW w:w="4255" w:type="dxa"/>
            <w:tcBorders/>
          </w:tcPr>
          <w:p>
            <w:pPr>
              <w:pStyle w:val="Normal"/>
              <w:snapToGrid w:val="false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5372" w:type="dxa"/>
            <w:tcBorders/>
          </w:tcPr>
          <w:p>
            <w:pPr>
              <w:pStyle w:val="Normal"/>
              <w:jc w:val="both"/>
              <w:rPr/>
            </w:pPr>
            <w:r>
              <w:rPr>
                <w:rFonts w:eastAsia="NSimSun" w:cs="Mangal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emboss w:val="false"/>
                <w:imprint w:val="false"/>
                <w:color w:val="000000"/>
                <w:spacing w:val="0"/>
                <w:w w:val="100"/>
                <w:kern w:val="2"/>
                <w:position w:val="0"/>
                <w:sz w:val="26"/>
                <w:sz w:val="26"/>
                <w:szCs w:val="26"/>
                <w:u w:val="none"/>
                <w:shd w:fill="auto" w:val="clear"/>
                <w:vertAlign w:val="baseline"/>
                <w:em w:val="none"/>
                <w:lang w:val="ru-RU" w:eastAsia="zh-CN" w:bidi="hi-IN"/>
              </w:rPr>
              <w:t>Приложение</w:t>
            </w:r>
          </w:p>
          <w:p>
            <w:pPr>
              <w:pStyle w:val="Normal"/>
              <w:jc w:val="both"/>
              <w:rPr/>
            </w:pPr>
            <w:r>
              <w:rPr>
                <w:rStyle w:val="Style14"/>
                <w:rFonts w:eastAsia="NSimSun" w:cs="Mangal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emboss w:val="false"/>
                <w:imprint w:val="false"/>
                <w:color w:val="000000"/>
                <w:spacing w:val="0"/>
                <w:w w:val="100"/>
                <w:kern w:val="2"/>
                <w:position w:val="0"/>
                <w:sz w:val="26"/>
                <w:sz w:val="26"/>
                <w:szCs w:val="26"/>
                <w:u w:val="none"/>
                <w:shd w:fill="auto" w:val="clear"/>
                <w:vertAlign w:val="baseline"/>
                <w:em w:val="none"/>
                <w:lang w:val="ru-RU" w:eastAsia="zh-CN" w:bidi="hi-IN"/>
              </w:rPr>
              <w:t>к Порядку предоставления субсидий на финансовое обеспечение затрат, связанных с выполнением наказов депутатов Законодательного собрания Камчатского края, за счёт средств бюджета Вилючинского городского округа для приобретения мотоциклов, расходных материалов к мототехнике, запасных частей и экипировки для занятия мотоспортом общественной организацией «Камчатская лига экстремального спорта»  на 2026 год</w:t>
            </w:r>
          </w:p>
          <w:p>
            <w:pPr>
              <w:pStyle w:val="Normal"/>
              <w:jc w:val="both"/>
              <w:rPr>
                <w:rFonts w:ascii="Times New Roman" w:hAnsi="Times New Roman" w:eastAsia="NSimSun" w:cs="Mangal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emboss w:val="false"/>
                <w:imprint w:val="false"/>
                <w:color w:val="000000"/>
                <w:spacing w:val="0"/>
                <w:w w:val="100"/>
                <w:kern w:val="2"/>
                <w:position w:val="0"/>
                <w:sz w:val="26"/>
                <w:sz w:val="26"/>
                <w:szCs w:val="26"/>
                <w:u w:val="none"/>
                <w:shd w:fill="auto" w:val="clear"/>
                <w:vertAlign w:val="baseline"/>
                <w:em w:val="none"/>
                <w:lang w:val="ru-RU" w:eastAsia="zh-CN" w:bidi="hi-IN"/>
              </w:rPr>
            </w:pPr>
            <w:r>
              <w:rPr>
                <w:rFonts w:eastAsia="NSimSun" w:cs="Mangal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emboss w:val="false"/>
                <w:imprint w:val="false"/>
                <w:color w:val="000000"/>
                <w:spacing w:val="0"/>
                <w:w w:val="100"/>
                <w:kern w:val="2"/>
                <w:position w:val="0"/>
                <w:sz w:val="26"/>
                <w:sz w:val="26"/>
                <w:szCs w:val="26"/>
                <w:u w:val="none"/>
                <w:shd w:fill="auto" w:val="clear"/>
                <w:vertAlign w:val="baseline"/>
                <w:em w:val="none"/>
                <w:lang w:val="ru-RU" w:eastAsia="zh-CN" w:bidi="hi-IN"/>
              </w:rPr>
            </w:r>
          </w:p>
          <w:p>
            <w:pPr>
              <w:pStyle w:val="Normal"/>
              <w:jc w:val="both"/>
              <w:rPr/>
            </w:pPr>
            <w:r>
              <w:rPr>
                <w:rFonts w:eastAsia="NSimSun" w:cs="Mangal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emboss w:val="false"/>
                <w:imprint w:val="false"/>
                <w:color w:val="000000"/>
                <w:spacing w:val="0"/>
                <w:w w:val="100"/>
                <w:kern w:val="2"/>
                <w:position w:val="0"/>
                <w:sz w:val="26"/>
                <w:sz w:val="26"/>
                <w:szCs w:val="26"/>
                <w:u w:val="none"/>
                <w:shd w:fill="auto" w:val="clear"/>
                <w:vertAlign w:val="baseline"/>
                <w:em w:val="none"/>
                <w:lang w:val="ru-RU" w:eastAsia="zh-CN" w:bidi="hi-IN"/>
              </w:rPr>
              <w:t>В управление социальной политики администрации Вилючинского городского округа</w:t>
            </w:r>
          </w:p>
        </w:tc>
      </w:tr>
    </w:tbl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Normal"/>
        <w:tabs>
          <w:tab w:val="clear" w:pos="709"/>
        </w:tabs>
        <w:ind w:left="720"/>
        <w:jc w:val="center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ЗАЯВЛЕНИЕ</w:t>
      </w:r>
    </w:p>
    <w:p>
      <w:pPr>
        <w:pStyle w:val="Normal"/>
        <w:jc w:val="center"/>
        <w:rPr>
          <w:rFonts w:ascii="Times New Roman" w:hAnsi="Times New Roman"/>
          <w:sz w:val="26"/>
          <w:szCs w:val="26"/>
        </w:rPr>
      </w:pPr>
      <w:r>
        <w:rPr>
          <w:rStyle w:val="Style14"/>
          <w:rFonts w:ascii="Times New Roman" w:hAnsi="Times New Roman"/>
          <w:sz w:val="26"/>
          <w:szCs w:val="26"/>
        </w:rPr>
        <w:t>о предоставлении субсидий на финансовое обеспечение затрат, связанных с выполнением наказов депутатов Законодательного собрания Камчатского края, за счёт средств бюджета Вилючинского городского округа для приобретения мотоциклов, расходных материалов к мототехнике, запасных частей и экипировки для занятия мотоспортом общественной организацией «Камчатская лига экстремального спорта»  на 2026 год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Полное наименование организации_____________________________________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Сокращенное наименование организации  _______________________________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Юридический адрес организации  ______________________________________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Почтовый адрес организации __________________________________________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Ф.И.О. руководителя организации ______________________________________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Контактный телефон, адрес электронной почты  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ИНН/КПП организации  ___________________/___________________________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ОГРН организации ___________________________________________________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Расчетный счет организации ___________________________________________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Наименование, адрес банка получателя  _________________________________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Банковский идентификационный код (БИК)______________________________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Банковский корреспондентский счет ____________________________________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Normal"/>
        <w:ind w:firstLine="73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Обоснование необходимости предоставления субсидии, перечень мероприятий на которые планируется использовать субсидию:</w:t>
      </w:r>
    </w:p>
    <w:p>
      <w:pPr>
        <w:pStyle w:val="Normal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Normal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Руководитель организации ______________ /______________/</w:t>
      </w:r>
    </w:p>
    <w:p>
      <w:pPr>
        <w:pStyle w:val="Normal"/>
        <w:tabs>
          <w:tab w:val="clear" w:pos="709"/>
        </w:tabs>
        <w:ind w:left="720"/>
        <w:rPr/>
      </w:pPr>
      <w:r>
        <w:rPr>
          <w:rStyle w:val="Style14"/>
          <w:rFonts w:ascii="Times New Roman" w:hAnsi="Times New Roman"/>
          <w:sz w:val="26"/>
          <w:szCs w:val="26"/>
        </w:rPr>
        <w:tab/>
        <w:tab/>
        <w:tab/>
        <w:tab/>
        <w:t xml:space="preserve">   </w:t>
      </w:r>
      <w:r>
        <w:rPr>
          <w:rFonts w:ascii="Times New Roman" w:hAnsi="Times New Roman"/>
        </w:rPr>
        <w:t>М.П.</w:t>
      </w:r>
    </w:p>
    <w:sectPr>
      <w:type w:val="nextPage"/>
      <w:pgSz w:w="11906" w:h="16838"/>
      <w:pgMar w:left="1701" w:right="567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ahoma">
    <w:charset w:val="01"/>
    <w:family w:val="roman"/>
    <w:pitch w:val="variable"/>
  </w:font>
  <w:font w:name="Times New Roman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ourier New">
    <w:charset w:val="01"/>
    <w:family w:val="roman"/>
    <w:pitch w:val="variable"/>
  </w:font>
  <w:font w:name="Arial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1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1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1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18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19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3"/>
    <w:lvlOverride w:ilvl="0">
      <w:startOverride w:val="1"/>
    </w:lvlOverride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3"/>
  </w:num>
  <w:num w:numId="29">
    <w:abstractNumId w:val="3"/>
  </w:num>
  <w:num w:numId="30">
    <w:abstractNumId w:val="3"/>
  </w:num>
  <w:num w:numId="31">
    <w:abstractNumId w:val="3"/>
  </w:num>
  <w:num w:numId="32">
    <w:abstractNumId w:val="3"/>
  </w:num>
  <w:num w:numId="33">
    <w:abstractNumId w:val="3"/>
  </w:num>
  <w:num w:numId="34">
    <w:abstractNumId w:val="3"/>
  </w:num>
  <w:num w:numId="35">
    <w:abstractNumId w:val="3"/>
  </w:num>
  <w:num w:numId="36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Mangal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keepNext w:val="false"/>
      <w:keepLines w:val="false"/>
      <w:pageBreakBefore w:val="false"/>
      <w:widowControl/>
      <w:shd w:val="clear" w:fill="auto"/>
      <w:suppressAutoHyphens w:val="true"/>
      <w:overflowPunct w:val="false"/>
      <w:bidi w:val="0"/>
      <w:snapToGrid w:val="true"/>
      <w:spacing w:lineRule="auto" w:line="240" w:before="0" w:after="0"/>
      <w:jc w:val="left"/>
    </w:pPr>
    <w:rPr>
      <w:rFonts w:ascii="Liberation Serif" w:hAnsi="Liberation Serif" w:eastAsia="NSimSun" w:cs="Mang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000000"/>
      <w:spacing w:val="0"/>
      <w:w w:val="100"/>
      <w:kern w:val="2"/>
      <w:position w:val="0"/>
      <w:sz w:val="24"/>
      <w:sz w:val="24"/>
      <w:szCs w:val="24"/>
      <w:u w:val="none"/>
      <w:shd w:fill="auto" w:val="clear"/>
      <w:vertAlign w:val="baseline"/>
      <w:em w:val="none"/>
      <w:lang w:val="ru-RU" w:eastAsia="zh-CN" w:bidi="hi-IN"/>
    </w:rPr>
  </w:style>
  <w:style w:type="character" w:styleId="Style14">
    <w:name w:val="Основной шрифт абзаца"/>
    <w:qFormat/>
    <w:rPr/>
  </w:style>
  <w:style w:type="character" w:styleId="WW8Num2z0">
    <w:name w:val="WW8Num2z0"/>
    <w:qFormat/>
    <w:rPr>
      <w:b w:val="false"/>
      <w:bCs w:val="false"/>
    </w:rPr>
  </w:style>
  <w:style w:type="character" w:styleId="Hyperlink">
    <w:name w:val="Hyperlink"/>
    <w:rPr>
      <w:color w:val="0000FF"/>
      <w:u w:val="single"/>
    </w:rPr>
  </w:style>
  <w:style w:type="character" w:styleId="WW8Num3z0">
    <w:name w:val="WW8Num3z0"/>
    <w:qFormat/>
    <w:rPr>
      <w:b w:val="false"/>
      <w:bCs w:val="false"/>
    </w:rPr>
  </w:style>
  <w:style w:type="character" w:styleId="Style15">
    <w:name w:val="Текст выноски Знак"/>
    <w:qFormat/>
    <w:rPr>
      <w:rFonts w:ascii="Tahoma" w:hAnsi="Tahoma" w:eastAsia="Tahoma" w:cs="Tahoma"/>
      <w:sz w:val="16"/>
      <w:szCs w:val="16"/>
    </w:rPr>
  </w:style>
  <w:style w:type="character" w:styleId="WWCharLFO1LVL1">
    <w:name w:val="WW_CharLFO1LVL1"/>
    <w:qFormat/>
    <w:rPr>
      <w:rFonts w:ascii="Times New Roman" w:hAnsi="Times New Roman"/>
      <w:b w:val="false"/>
      <w:bCs w:val="false"/>
      <w:sz w:val="28"/>
      <w:szCs w:val="28"/>
    </w:rPr>
  </w:style>
  <w:style w:type="character" w:styleId="WWCharLFO1LVL2">
    <w:name w:val="WW_CharLFO1LVL2"/>
    <w:qFormat/>
    <w:rPr>
      <w:rFonts w:ascii="Times New Roman" w:hAnsi="Times New Roman"/>
      <w:b w:val="false"/>
      <w:bCs w:val="false"/>
      <w:sz w:val="28"/>
      <w:szCs w:val="28"/>
    </w:rPr>
  </w:style>
  <w:style w:type="character" w:styleId="WWCharLFO1LVL3">
    <w:name w:val="WW_CharLFO1LVL3"/>
    <w:qFormat/>
    <w:rPr>
      <w:b w:val="false"/>
      <w:bCs w:val="false"/>
    </w:rPr>
  </w:style>
  <w:style w:type="character" w:styleId="WWCharLFO1LVL4">
    <w:name w:val="WW_CharLFO1LVL4"/>
    <w:qFormat/>
    <w:rPr>
      <w:b w:val="false"/>
      <w:bCs w:val="false"/>
    </w:rPr>
  </w:style>
  <w:style w:type="character" w:styleId="WWCharLFO1LVL5">
    <w:name w:val="WW_CharLFO1LVL5"/>
    <w:qFormat/>
    <w:rPr>
      <w:b w:val="false"/>
      <w:bCs w:val="false"/>
    </w:rPr>
  </w:style>
  <w:style w:type="character" w:styleId="WWCharLFO1LVL6">
    <w:name w:val="WW_CharLFO1LVL6"/>
    <w:qFormat/>
    <w:rPr>
      <w:b w:val="false"/>
      <w:bCs w:val="false"/>
    </w:rPr>
  </w:style>
  <w:style w:type="character" w:styleId="WWCharLFO1LVL7">
    <w:name w:val="WW_CharLFO1LVL7"/>
    <w:qFormat/>
    <w:rPr>
      <w:b w:val="false"/>
      <w:bCs w:val="false"/>
    </w:rPr>
  </w:style>
  <w:style w:type="character" w:styleId="WWCharLFO1LVL8">
    <w:name w:val="WW_CharLFO1LVL8"/>
    <w:qFormat/>
    <w:rPr>
      <w:b w:val="false"/>
      <w:bCs w:val="false"/>
    </w:rPr>
  </w:style>
  <w:style w:type="character" w:styleId="WWCharLFO1LVL9">
    <w:name w:val="WW_CharLFO1LVL9"/>
    <w:qFormat/>
    <w:rPr>
      <w:b w:val="false"/>
      <w:bCs w:val="false"/>
    </w:rPr>
  </w:style>
  <w:style w:type="character" w:styleId="WWCharLFO2LVL1">
    <w:name w:val="WW_CharLFO2LVL1"/>
    <w:qFormat/>
    <w:rPr>
      <w:b w:val="false"/>
      <w:bCs w:val="false"/>
    </w:rPr>
  </w:style>
  <w:style w:type="character" w:styleId="WWCharLFO2LVL2">
    <w:name w:val="WW_CharLFO2LVL2"/>
    <w:qFormat/>
    <w:rPr>
      <w:b w:val="false"/>
      <w:bCs w:val="false"/>
    </w:rPr>
  </w:style>
  <w:style w:type="character" w:styleId="WWCharLFO2LVL3">
    <w:name w:val="WW_CharLFO2LVL3"/>
    <w:qFormat/>
    <w:rPr>
      <w:b w:val="false"/>
      <w:bCs w:val="false"/>
    </w:rPr>
  </w:style>
  <w:style w:type="character" w:styleId="WWCharLFO2LVL4">
    <w:name w:val="WW_CharLFO2LVL4"/>
    <w:qFormat/>
    <w:rPr>
      <w:b w:val="false"/>
      <w:bCs w:val="false"/>
    </w:rPr>
  </w:style>
  <w:style w:type="character" w:styleId="WWCharLFO2LVL5">
    <w:name w:val="WW_CharLFO2LVL5"/>
    <w:qFormat/>
    <w:rPr>
      <w:b w:val="false"/>
      <w:bCs w:val="false"/>
    </w:rPr>
  </w:style>
  <w:style w:type="character" w:styleId="WWCharLFO2LVL6">
    <w:name w:val="WW_CharLFO2LVL6"/>
    <w:qFormat/>
    <w:rPr>
      <w:b w:val="false"/>
      <w:bCs w:val="false"/>
    </w:rPr>
  </w:style>
  <w:style w:type="character" w:styleId="WWCharLFO2LVL7">
    <w:name w:val="WW_CharLFO2LVL7"/>
    <w:qFormat/>
    <w:rPr>
      <w:b w:val="false"/>
      <w:bCs w:val="false"/>
    </w:rPr>
  </w:style>
  <w:style w:type="character" w:styleId="WWCharLFO2LVL8">
    <w:name w:val="WW_CharLFO2LVL8"/>
    <w:qFormat/>
    <w:rPr>
      <w:b w:val="false"/>
      <w:bCs w:val="false"/>
    </w:rPr>
  </w:style>
  <w:style w:type="character" w:styleId="WWCharLFO2LVL9">
    <w:name w:val="WW_CharLFO2LVL9"/>
    <w:qFormat/>
    <w:rPr>
      <w:b w:val="false"/>
      <w:bCs w:val="false"/>
    </w:rPr>
  </w:style>
  <w:style w:type="character" w:styleId="Style16">
    <w:name w:val="Маркеры"/>
    <w:qFormat/>
    <w:rPr>
      <w:rFonts w:ascii="OpenSymbol" w:hAnsi="OpenSymbol" w:eastAsia="OpenSymbol" w:cs="OpenSymbol"/>
    </w:rPr>
  </w:style>
  <w:style w:type="character" w:styleId="Style17">
    <w:name w:val="Символ нумерации"/>
    <w:qFormat/>
    <w:rPr/>
  </w:style>
  <w:style w:type="paragraph" w:styleId="Style18">
    <w:name w:val="Заголовок"/>
    <w:basedOn w:val="Normal"/>
    <w:next w:val="BodyText"/>
    <w:qFormat/>
    <w:pPr>
      <w:keepNext w:val="true"/>
      <w:suppressAutoHyphens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BodyText">
    <w:name w:val="Body Text"/>
    <w:basedOn w:val="Normal"/>
    <w:pPr>
      <w:suppressAutoHyphens w:val="true"/>
      <w:spacing w:lineRule="auto" w:line="276" w:before="0" w:after="140"/>
    </w:pPr>
    <w:rPr/>
  </w:style>
  <w:style w:type="paragraph" w:styleId="List">
    <w:name w:val="List"/>
    <w:basedOn w:val="BodyText"/>
    <w:pPr>
      <w:suppressAutoHyphens w:val="true"/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  <w:suppressAutoHyphens w:val="true"/>
    </w:pPr>
    <w:rPr/>
  </w:style>
  <w:style w:type="paragraph" w:styleId="Style20">
    <w:name w:val="Обычный"/>
    <w:qFormat/>
    <w:pPr>
      <w:keepNext w:val="false"/>
      <w:keepLines w:val="false"/>
      <w:pageBreakBefore w:val="false"/>
      <w:widowControl/>
      <w:shd w:val="clear" w:fill="auto"/>
      <w:suppressAutoHyphens w:val="true"/>
      <w:overflowPunct w:val="false"/>
      <w:bidi w:val="0"/>
      <w:snapToGrid w:val="true"/>
      <w:spacing w:lineRule="auto" w:line="240" w:before="0" w:after="0"/>
      <w:jc w:val="left"/>
    </w:pPr>
    <w:rPr>
      <w:rFonts w:ascii="Liberation Serif" w:hAnsi="Liberation Serif" w:eastAsia="NSimSun" w:cs="Mang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000000"/>
      <w:spacing w:val="0"/>
      <w:w w:val="100"/>
      <w:kern w:val="2"/>
      <w:position w:val="0"/>
      <w:sz w:val="24"/>
      <w:sz w:val="24"/>
      <w:szCs w:val="24"/>
      <w:u w:val="none"/>
      <w:shd w:fill="auto" w:val="clear"/>
      <w:vertAlign w:val="baseline"/>
      <w:em w:val="none"/>
      <w:lang w:val="ru-RU" w:eastAsia="zh-CN" w:bidi="hi-IN"/>
    </w:rPr>
  </w:style>
  <w:style w:type="paragraph" w:styleId="Style21">
    <w:name w:val="Название объекта"/>
    <w:basedOn w:val="Normal"/>
    <w:qFormat/>
    <w:pPr>
      <w:suppressLineNumbers/>
      <w:suppressAutoHyphens w:val="true"/>
      <w:spacing w:before="120" w:after="120"/>
    </w:pPr>
    <w:rPr>
      <w:i/>
      <w:iCs/>
    </w:rPr>
  </w:style>
  <w:style w:type="paragraph" w:styleId="Style22">
    <w:name w:val="Содержимое таблицы"/>
    <w:basedOn w:val="Normal"/>
    <w:qFormat/>
    <w:pPr>
      <w:widowControl w:val="false"/>
      <w:suppressLineNumbers/>
      <w:suppressAutoHyphens w:val="true"/>
    </w:pPr>
    <w:rPr/>
  </w:style>
  <w:style w:type="paragraph" w:styleId="Style23">
    <w:name w:val="Горизонтальная линия"/>
    <w:basedOn w:val="Normal"/>
    <w:next w:val="BodyText"/>
    <w:qFormat/>
    <w:pPr>
      <w:suppressLineNumbers/>
      <w:suppressAutoHyphens w:val="true"/>
      <w:spacing w:before="0" w:after="283"/>
    </w:pPr>
    <w:rPr>
      <w:sz w:val="12"/>
      <w:szCs w:val="12"/>
    </w:rPr>
  </w:style>
  <w:style w:type="paragraph" w:styleId="Style24">
    <w:name w:val="Текст выноски"/>
    <w:basedOn w:val="Normal"/>
    <w:qFormat/>
    <w:pPr>
      <w:suppressAutoHyphens w:val="true"/>
    </w:pPr>
    <w:rPr>
      <w:rFonts w:ascii="Tahoma" w:hAnsi="Tahoma" w:eastAsia="Tahoma" w:cs="Tahoma"/>
      <w:sz w:val="16"/>
      <w:szCs w:val="16"/>
    </w:rPr>
  </w:style>
  <w:style w:type="paragraph" w:styleId="ConsPlusTitle">
    <w:name w:val="ConsPlusTitle"/>
    <w:qFormat/>
    <w:pPr>
      <w:keepNext w:val="false"/>
      <w:keepLines w:val="false"/>
      <w:pageBreakBefore w:val="false"/>
      <w:widowControl/>
      <w:shd w:val="clear" w:fill="auto"/>
      <w:suppressAutoHyphens w:val="true"/>
      <w:overflowPunct w:val="false"/>
      <w:bidi w:val="0"/>
      <w:snapToGrid w:val="true"/>
      <w:spacing w:lineRule="auto" w:line="240" w:before="0" w:after="0"/>
      <w:jc w:val="left"/>
    </w:pPr>
    <w:rPr>
      <w:rFonts w:ascii="Courier New" w:hAnsi="Courier New" w:eastAsia="Times New Roman" w:cs="Courier New"/>
      <w:b/>
      <w:bCs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000000"/>
      <w:spacing w:val="0"/>
      <w:w w:val="100"/>
      <w:kern w:val="2"/>
      <w:position w:val="0"/>
      <w:sz w:val="20"/>
      <w:sz w:val="20"/>
      <w:szCs w:val="20"/>
      <w:u w:val="none"/>
      <w:shd w:fill="auto" w:val="clear"/>
      <w:vertAlign w:val="baseline"/>
      <w:em w:val="none"/>
      <w:lang w:val="ru-RU" w:eastAsia="zh-CN" w:bidi="ar-SA"/>
    </w:rPr>
  </w:style>
  <w:style w:type="paragraph" w:styleId="ConsPlusNonformat">
    <w:name w:val="ConsPlusNonformat"/>
    <w:qFormat/>
    <w:pPr>
      <w:keepNext w:val="false"/>
      <w:keepLines w:val="false"/>
      <w:pageBreakBefore w:val="false"/>
      <w:widowControl/>
      <w:shd w:val="clear" w:fill="auto"/>
      <w:suppressAutoHyphens w:val="true"/>
      <w:overflowPunct w:val="false"/>
      <w:bidi w:val="0"/>
      <w:snapToGrid w:val="true"/>
      <w:spacing w:lineRule="auto" w:line="240" w:before="0" w:after="0"/>
      <w:jc w:val="left"/>
    </w:pPr>
    <w:rPr>
      <w:rFonts w:ascii="Courier New" w:hAnsi="Courier New" w:eastAsia="Times New Roman" w:cs="Courier New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000000"/>
      <w:spacing w:val="0"/>
      <w:w w:val="100"/>
      <w:kern w:val="2"/>
      <w:position w:val="0"/>
      <w:sz w:val="20"/>
      <w:sz w:val="20"/>
      <w:szCs w:val="20"/>
      <w:u w:val="none"/>
      <w:shd w:fill="auto" w:val="clear"/>
      <w:vertAlign w:val="baseline"/>
      <w:em w:val="none"/>
      <w:lang w:val="ru-RU" w:eastAsia="zh-CN" w:bidi="ar-SA"/>
    </w:rPr>
  </w:style>
  <w:style w:type="paragraph" w:styleId="ConsPlusNormal">
    <w:name w:val="ConsPlusNormal"/>
    <w:qFormat/>
    <w:pPr>
      <w:keepNext w:val="false"/>
      <w:keepLines w:val="false"/>
      <w:pageBreakBefore w:val="false"/>
      <w:widowControl/>
      <w:shd w:val="clear" w:fill="auto"/>
      <w:suppressAutoHyphens w:val="true"/>
      <w:overflowPunct w:val="false"/>
      <w:bidi w:val="0"/>
      <w:snapToGrid w:val="true"/>
      <w:spacing w:lineRule="auto" w:line="240" w:before="0" w:after="0"/>
      <w:ind w:firstLine="720"/>
      <w:jc w:val="left"/>
    </w:pPr>
    <w:rPr>
      <w:rFonts w:ascii="Arial" w:hAnsi="Arial" w:eastAsia="Times New Roman" w:cs="Ari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000000"/>
      <w:spacing w:val="0"/>
      <w:w w:val="100"/>
      <w:kern w:val="2"/>
      <w:position w:val="0"/>
      <w:sz w:val="20"/>
      <w:sz w:val="20"/>
      <w:szCs w:val="20"/>
      <w:u w:val="none"/>
      <w:shd w:fill="auto" w:val="clear"/>
      <w:vertAlign w:val="baseline"/>
      <w:em w:val="none"/>
      <w:lang w:val="ru-RU" w:eastAsia="zh-CN" w:bidi="ar-SA"/>
    </w:rPr>
  </w:style>
  <w:style w:type="paragraph" w:styleId="2">
    <w:name w:val="Основной текст 2"/>
    <w:basedOn w:val="Normal"/>
    <w:qFormat/>
    <w:pPr>
      <w:suppressAutoHyphens w:val="true"/>
    </w:pPr>
    <w:rPr>
      <w:sz w:val="28"/>
    </w:rPr>
  </w:style>
  <w:style w:type="paragraph" w:styleId="Style25">
    <w:name w:val="Схема документа"/>
    <w:basedOn w:val="Normal"/>
    <w:qFormat/>
    <w:pPr>
      <w:shd w:val="clear" w:fill="000080"/>
      <w:suppressAutoHyphens w:val="true"/>
    </w:pPr>
    <w:rPr>
      <w:rFonts w:ascii="Tahoma" w:hAnsi="Tahoma" w:eastAsia="Tahoma" w:cs="Tahoma"/>
    </w:rPr>
  </w:style>
  <w:style w:type="numbering" w:styleId="WW8Num2">
    <w:name w:val="WW8Num2"/>
    <w:qFormat/>
  </w:style>
  <w:style w:type="numbering" w:styleId="WW8Num3">
    <w:name w:val="WW8Num3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1726</TotalTime>
  <Application>LibreOffice/7.6.7.2$Linux_X86_64 LibreOffice_project/60$Build-2</Application>
  <AppVersion>15.0000</AppVersion>
  <Pages>8</Pages>
  <Words>2245</Words>
  <Characters>17092</Characters>
  <CharactersWithSpaces>19294</CharactersWithSpaces>
  <Paragraphs>93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2025-03-18T04:34:00Z</dcterms:created>
  <dc:creator/>
  <dc:description/>
  <dc:language>ru-RU</dc:language>
  <cp:lastModifiedBy/>
  <cp:lastPrinted>2026-04-06T15:19:49Z</cp:lastPrinted>
  <dcterms:modified xsi:type="dcterms:W3CDTF">2026-04-09T12:22:44Z</dcterms:modified>
  <cp:revision>42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