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4313"/>
      </w:tblGrid>
      <w:tr>
        <w:trPr>
          <w:trHeight w:val="1701" w:hRule="atLeast"/>
        </w:trPr>
        <w:tc>
          <w:tcPr>
            <w:tcW w:w="5490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13" w:type="dxa"/>
            <w:tcBorders/>
          </w:tcPr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Приложение</w:t>
            </w:r>
          </w:p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к постановлению  администрации</w:t>
            </w:r>
          </w:p>
          <w:p>
            <w:pPr>
              <w:pStyle w:val="Normal"/>
              <w:jc w:val="lef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Вилючинского городского округа</w:t>
            </w:r>
          </w:p>
          <w:p>
            <w:pPr>
              <w:pStyle w:val="Normal"/>
              <w:jc w:val="left"/>
              <w:rPr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>№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>________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  <w:szCs w:val="28"/>
        </w:rPr>
        <w:t>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на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 местной общественной организации «Федерация тхэквондо г. Вилючинска» на 2026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Настоящий Порядок разработан в соответствии с действующим законодательством Российской Федерации и Уставом Вилючинского городского округа с целью оказания финансовой помощи местной общественной организации «Федерация тхэквондо г. Вилючинска» на 2026 год — на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края, в рамках выполнения наказов депутатов Законодательного собрания Камчатского края за счёт средств местного бюджета.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предоставления и возврат субсидии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— для приобретения спортивного инвентаря, софинансирования участия в грантах, оплаты проезда спортсменов и тренера к месту проведения соревнований и спортивных сборов за пределами Камчатского края(далее — Субсидия) в случае нарушения условий, установленных при её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Целью расходов Субсидии в соответствии с муниципальной программой «Физическая культура, спорт, молодёжная политика, отдых и оздоровление детей в Вилючинском городском округе» является </w:t>
      </w:r>
      <w:r>
        <w:rPr>
          <w:rStyle w:val="Style14"/>
          <w:rFonts w:ascii="Times New Roman" w:hAnsi="Times New Roman"/>
          <w:b w:val="false"/>
          <w:bCs w:val="false"/>
          <w:i w:val="false"/>
          <w:iCs w:val="false"/>
          <w:sz w:val="28"/>
          <w:szCs w:val="28"/>
        </w:rPr>
        <w:t>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на безвозмездной и безвозвратной основе осуществляет главный распорядитель средств местного бюджета — Управление социальной политики администрации Вилючинского городского округа (далее — Управление), которому в соответствии с бюджетным законодательством Российской Федерации как получателю бюджетных средств в установленном порядке доведены лимиты бюджетных обязательств на предоставление Субсидий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Получателем субсидии является Местная общественная организация «Федерация тхэквондо г. Вилючинска» (далее — Получатель) в соответствии с Решением Думы Вилючинского городского округа от 22.12.2025 № 31/7</w:t>
        <w:noBreakHyphen/>
        <w:t>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</w:t>
        <w:noBreakHyphen/>
        <w:t>телекоммуникационной сети «Интернет» (далее — единый портал)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Субсидия предоставляется в форме финансового обеспечения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Style w:val="Style1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  <w:shd w:fill="auto" w:val="clear"/>
        </w:rPr>
        <w:t>Направлением расходов Субсидии являются: 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либо об отказе в её предоставлении. О принятом решении Получатель субсидии уведомляется в письменной форме в течение 3 (трёх) рабочих дней после завершения рассмотрения документов.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требованиям, установленным настоящим Порядком, или непредставление (представление не в полном объёме)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счёт средств бюджета Вилючинского городского округа. Размер Субсидии определён Решением Думы Вилючинского городского округа от 22.12.2025 № 31/7-8 «О местном бюджете на 2026 год и на плановый период 2027 и 2028 годов». Размер Субсидии не может превышать размер утверждённых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соглашение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о предоставлении из местного бюджета субсидий, </w:t>
      </w:r>
      <w:r>
        <w:rPr>
          <w:rFonts w:eastAsia="" w:cs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в том числе грантов в форме субсидий, юридическим лицам,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>индивидуальным предпринимателям, некоммерческим организациям не являющимся муниципальным учреждением, а также физическим лицам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(далее — Соглашение).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заключаются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согласие Получателя субсидии, лиц, получающих средства на основании договоров, заключённых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Управлением в отношении их проверки 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Федерации,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- показатели, необходимые для достижения результатов предоставления Субсидии: </w:t>
      </w:r>
      <w:r>
        <w:rPr>
          <w:rStyle w:val="Style14"/>
          <w:rFonts w:ascii="Times New Roman" w:hAnsi="Times New Roman"/>
          <w:sz w:val="28"/>
          <w:szCs w:val="28"/>
        </w:rPr>
        <w:t>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</w:t>
      </w:r>
      <w:r>
        <w:rPr>
          <w:rStyle w:val="Style14"/>
          <w:rFonts w:ascii="Times New Roman" w:hAnsi="Times New Roman"/>
          <w:sz w:val="28"/>
        </w:rPr>
        <w:t>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доведённых лимитов бюджетных обязательств, приводящих к невозможности предоставления Субсидии в размере, определённом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недостижении согласия по новым условиям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расчётный счёт Получателя субсидии, открытый в кредитной организации, в пределах доведённых объёмов финансирования, в соответствии с условиями и в срок, определёнными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Субсидии, под которыми понимаются количество приобретённого спортивного инвентаря, софинансирования участия в грантах, оплата проезда спортсменов и тренера к месту проведения соревнований и спортивных сборов за пределами Камчатского края. Кроме того, необходимо предоставить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определённый п. 3 ст.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Федерации, а также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таким, местом регистрации которого является государство или территория, включённая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—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проверки Получателя Субсидии Управление получает соответствующие сведения из Единого государственного реестра юридических лиц, осуществляет сверку данных на официальном сайте Федеральной налоговой службы Российской Федерации (в разделе «Поиск сведений в реестре дисквалифицированных лиц») и на официальном сайте Росфинмониторинга (в разделе «Перечень организаций и физических лиц, в отношении которых имеются сведения об их причастности к экстремистской деятельности или терроризму»), а также запрашивает сведения о наличии просроченной задолженности перед бюджетом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3.1. Получатель субсидии предоставляет в Управление: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 отчёт об осуществлении расходов, источником финансового обеспечения которых является Субсидия,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Получателем субсидии, но не позднее 1 декабря 2026 года;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-отчёт о достигнутых значениях результата предоставления Субсидии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Субсидии, но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3.2. Управление осуществляет проверку отчётов, устанавливает полноту и достоверность сведений, содержащихся в отчётах, прилагаемых к ним документах и материалах, в течение 10 рабочих дней со дня их получения.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Отчёты, указанные в пункте 3.1 настоящего Порядка, считаются принятыми после направления Получателю субсидии уведомления, подписанного руководителем Управления или уполномоченным им лицом, — посредством почтового отправления, электронной связи либо нарочно.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Отчёты, указанные в пункте 3.1 настоящего Порядка, считаются непринятыми после направления Получателю субсидии уведомления, подписанного руководителем Управления (или уполномоченным им лицом), посредством почтового отправления, электронной связи либо нарочным.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Основания для признания отчётов непринятыми: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непредставление либо представление не в полном объёме отчётов, указанных в пункте 3.1 настоящего Порядка;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некорректное заполнение либо незаполнение Получателем субсидии всех обязательных для заполнения граф, предусмотренных в отчётах;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предоставление отчётов с нарушением сроков, указанных в пункте 3.1 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32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Управление осуществляет проверку соблюдения Получателем субсидии порядка и условий её предоставления, в том числе в части достижения результатов предоставления Субсидии. Орган муниципального финансового контроля проводит проверку в соответствии со статьёй 268.1 Бюджетного кодекса Российской Федерации. В соответствии со статьёй 269.2 Бюджетного кодекса Российской Федерации проверку осуществляет уполномоченный сотрудник администрации Вилючинского городского округа.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условий предоставления Субсидии, недостижения установленных значений результата её использования либо нецелевого использования Субсидии она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израсходованный в текущем финансовом году, подлежит обязательному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положений пунктов 4.2 и 4.3 раздела 4 настоящего Порядка взыскание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на основании значений, установленных Соглашением о предоставлении Субсидии, которые подтверждают факт завершения соответствующих мероприятий, предусмотренных для достижения этих результатов.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2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5372"/>
      </w:tblGrid>
      <w:tr>
        <w:trPr/>
        <w:tc>
          <w:tcPr>
            <w:tcW w:w="4255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372" w:type="dxa"/>
            <w:tcBorders/>
          </w:tcPr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jc w:val="both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к Порядку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на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 местной общественной организации «Федерация тхэквондо г. Вилючинска» на 2026 год.</w:t>
            </w:r>
          </w:p>
          <w:p>
            <w:pPr>
              <w:pStyle w:val="Normal"/>
              <w:jc w:val="both"/>
              <w:rPr>
                <w:rStyle w:val="Style14"/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 xml:space="preserve">о предоставлении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 </w:t>
      </w:r>
      <w:r>
        <w:rPr>
          <w:rStyle w:val="Style14"/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6"/>
          <w:sz w:val="26"/>
          <w:szCs w:val="26"/>
          <w:u w:val="none"/>
          <w:shd w:fill="auto" w:val="clear"/>
          <w:vertAlign w:val="baseline"/>
          <w:em w:val="none"/>
          <w:lang w:val="ru-RU" w:eastAsia="zh-CN" w:bidi="hi-IN"/>
        </w:rPr>
        <w:t>на приобретение спортивного инвентаря, софинансирование участия в грантах, оплату проезда спортсменов и тренера к месту проведения соревнований и спортивных сборов за пределами Камчатского края местной общественной организации «Федерация тхэквондо г. Вилючинска» на 2026 год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3"/>
    <w:lvlOverride w:ilvl="0">
      <w:startOverride w:val="1"/>
    </w:lvlOverride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3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4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5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1716</TotalTime>
  <Application>LibreOffice/7.6.7.2$Linux_X86_64 LibreOffice_project/60$Build-2</Application>
  <AppVersion>15.0000</AppVersion>
  <Pages>8</Pages>
  <Words>2329</Words>
  <Characters>17639</Characters>
  <CharactersWithSpaces>19925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2026-04-06T15:19:49Z</cp:lastPrinted>
  <dcterms:modified xsi:type="dcterms:W3CDTF">2026-04-09T09:16:57Z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