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875"/>
      </w:tblGrid>
      <w:tr>
        <w:trPr>
          <w:trHeight w:val="1701" w:hRule="atLeast"/>
        </w:trPr>
        <w:tc>
          <w:tcPr>
            <w:tcW w:w="4928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75" w:type="dxa"/>
            <w:tcBorders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к постановлению  администрации Вилючинского городского округа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left"/>
              <w:rPr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single"/>
              </w:rPr>
              <w:t>____________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single"/>
              </w:rPr>
              <w:t>________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b/>
          <w:bCs/>
          <w:sz w:val="28"/>
        </w:rPr>
        <w:t xml:space="preserve">предоставления субсидий на финансовое обеспечение затрат для выполнения наказов депутатов Законодательного собрания Камчатского края за счет средств  бюджета Вилючинского городского округа </w:t>
      </w:r>
      <w:r>
        <w:rPr>
          <w:rStyle w:val="Style14"/>
          <w:rFonts w:ascii="Times New Roman" w:hAnsi="Times New Roman"/>
          <w:b/>
          <w:bCs/>
          <w:sz w:val="28"/>
          <w:szCs w:val="28"/>
        </w:rPr>
        <w:t>на благоустройство эллинга и приобретение спортивного инвентаря, снаряжения и оборудования для занятий водными видами спорта Камчатской региональной общественной организации «Союз водных видов спорта» на 2026 год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2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1"/>
          <w:numId w:val="21"/>
        </w:numPr>
        <w:tabs>
          <w:tab w:val="clear" w:pos="709"/>
        </w:tabs>
        <w:ind w:firstLine="720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Настоящий Порядок разработан в соответствии с действующим законодательством Российской Федерации, Уставом Вилючинского городского округа с целью оказания финансовой помощи на благоустройство эллинга и приобретение спортивного инвентаря, снаряжения и оборудования для занятий водными видами спорта Камчатской региональной общественной организации «Союз водных видов спорта» на 2026 год, за счет средств местного бюджета для выполнения наказов депутатов Законодательного собрания Камчатского края.</w:t>
      </w:r>
    </w:p>
    <w:p>
      <w:pPr>
        <w:pStyle w:val="Normal"/>
        <w:numPr>
          <w:ilvl w:val="1"/>
          <w:numId w:val="22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определяет цели, условия и порядок предоставления субсидии и возврата данной субсидии в случае нарушения условий, установленных при ее предоставлении.</w:t>
      </w:r>
    </w:p>
    <w:p>
      <w:pPr>
        <w:pStyle w:val="Normal"/>
        <w:numPr>
          <w:ilvl w:val="1"/>
          <w:numId w:val="2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Целью расходов субсидии в соответствии с муниципальной программой «Физическая культура, спорт, молодежная политика, отдых и оздоровление детей в Вилючинском городском округе» является приобретение спортивного инвентаря и оборудования для занятий водными видами спорта.</w:t>
      </w:r>
    </w:p>
    <w:p>
      <w:pPr>
        <w:pStyle w:val="Normal"/>
        <w:numPr>
          <w:ilvl w:val="1"/>
          <w:numId w:val="2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субсидий осуществляет главный распорядитель средств местного бюджета – Управление социальной политики администрации Вилючинского городского округа (далее – Управление) на безвозмездной и безвозвратной основе,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 на соответствующий финансовый год.</w:t>
      </w:r>
    </w:p>
    <w:p>
      <w:pPr>
        <w:pStyle w:val="Normal"/>
        <w:numPr>
          <w:ilvl w:val="1"/>
          <w:numId w:val="25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Получателем субсидии является </w:t>
      </w:r>
      <w:r>
        <w:rPr>
          <w:rStyle w:val="Style14"/>
          <w:rFonts w:ascii="Times New Roman" w:hAnsi="Times New Roman"/>
          <w:sz w:val="28"/>
          <w:szCs w:val="28"/>
        </w:rPr>
        <w:t>К</w:t>
      </w:r>
      <w:r>
        <w:rPr>
          <w:rStyle w:val="Style14"/>
          <w:rFonts w:ascii="Times New Roman" w:hAnsi="Times New Roman"/>
          <w:sz w:val="28"/>
          <w:szCs w:val="28"/>
        </w:rPr>
        <w:t>амчатская региональная общественная организация «Союз водных видов спорта» (далее – Получатель) в соответствии с Решением Думы Вилючинского городского округа от 22.12.2025 № 31/7-8 «О местном бюджете на 2026 год и на плановый период 2027 и 2028 годов».</w:t>
      </w:r>
    </w:p>
    <w:p>
      <w:pPr>
        <w:pStyle w:val="Normal"/>
        <w:numPr>
          <w:ilvl w:val="1"/>
          <w:numId w:val="26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— единый портал) (в разделе единого портала) информации о субсидии в порядке, установленном Министерством финансов Российской Федерации.</w:t>
      </w:r>
    </w:p>
    <w:p>
      <w:pPr>
        <w:pStyle w:val="Normal"/>
        <w:numPr>
          <w:ilvl w:val="1"/>
          <w:numId w:val="27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предоставления субсидии — финансовое обеспечение затрат.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8"/>
        </w:numPr>
        <w:jc w:val="center"/>
        <w:rPr/>
      </w:pPr>
      <w:r>
        <w:rPr>
          <w:rStyle w:val="Style14"/>
          <w:rFonts w:ascii="Times New Roman" w:hAnsi="Times New Roman"/>
          <w:b/>
          <w:sz w:val="28"/>
          <w:szCs w:val="28"/>
        </w:rPr>
        <w:t>Условия и порядок предоставления субсидии</w:t>
      </w:r>
    </w:p>
    <w:p>
      <w:pPr>
        <w:pStyle w:val="Normal"/>
        <w:numPr>
          <w:ilvl w:val="1"/>
          <w:numId w:val="29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предоставления субсидии являются следующие документы: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субсидии по форме согласно приложению № 1 к настоящему Порядку, подписанное руководителем Получателя субсидии (далее – Заявление);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по состоянию на дату, которая предшествует дате подачи Заявления не более чем на 30 дней;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смета расходов, источником финансового обеспечения которых является субсидия;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 Управление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 Направлением расходов субсидии является благоустройство эллинга и приобретение спортивного инвентаря и оборудования для занятий водными видами спорта.  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Управление рассматривает поступившие документы в течение 5 (пяти) рабочих дней со дня их регистрации. Управление осуществляет проверку достоверности сведений, представляемых Получателем субсидии, и принимает решение о предоставлении субсидии или об отказе в предоставлении субсидии, о чем в течение 3 (трех) рабочих дней, следующих за днем окончания рассмотрения документов Получатель субсидии информируется в письменной форме.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Основанием для отказа в предоставлении субсидии являются: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Получателем субсидии документов требованиям установленным настоящим Порядком или непредставление (представление не в полном объеме) указанных документов;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Субсидия предоставляется за счет средств бюджета Вилючинского городского округа. Размер Субсидии определен </w:t>
      </w:r>
      <w:r>
        <w:rPr>
          <w:rStyle w:val="Style14"/>
          <w:rFonts w:ascii="Times New Roman" w:hAnsi="Times New Roman"/>
          <w:sz w:val="28"/>
          <w:szCs w:val="28"/>
        </w:rPr>
        <w:t>Решением Думы Вилючинского городского округа от 22.12.2025 № 31/7-8 «О местном бюджете на 2026 год и на плановый период 2027 и 2028 годов»</w:t>
      </w:r>
      <w:r>
        <w:rPr>
          <w:rFonts w:ascii="Times New Roman" w:hAnsi="Times New Roman"/>
          <w:sz w:val="28"/>
          <w:szCs w:val="28"/>
        </w:rPr>
        <w:t>. Размер субсидии не может превышать размер утвержденных лимитов бюджетных обязательств на текущий финансовый год на данные цели.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Получатель субсидии, в отношении которого принято решение о предоставлении субсидии, в течение 5 (пяти) рабочих дней со дня принятия такого решения заключает с Управлением Соглашение.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Соглашение, дополнительное соглашение к Соглашению, в том числе дополнительное соглашение о расторжении Соглашения заключается в соответствии с типовой формой, установленной приказом финансового управления администрации Вилючинского городского округа от 30.06.2023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Соглашении предусматриваются следующие условия: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назначение и размер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предоставления отчетности об использовании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согласие Получателя субсидии,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Управлением на соблюдение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 xml:space="preserve">268.1 и 269.2 </w:t>
      </w:r>
      <w:r>
        <w:rPr>
          <w:rStyle w:val="Style14"/>
          <w:rFonts w:ascii="Times New Roman" w:hAnsi="Times New Roman"/>
          <w:sz w:val="28"/>
          <w:szCs w:val="28"/>
        </w:rPr>
        <w:t>Бюджетного кодекса Российской Федерации и на включение таких положений в Соглашение;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 результаты предоставления Субсидии:</w:t>
      </w:r>
      <w:r>
        <w:rPr>
          <w:rStyle w:val="Style14"/>
          <w:rFonts w:ascii="Times New Roman" w:hAnsi="Times New Roman"/>
          <w:sz w:val="28"/>
        </w:rPr>
        <w:t xml:space="preserve"> благоустройство эллинга и </w:t>
      </w:r>
      <w:r>
        <w:rPr>
          <w:rStyle w:val="Style14"/>
          <w:rFonts w:ascii="Times New Roman" w:hAnsi="Times New Roman"/>
          <w:sz w:val="28"/>
          <w:szCs w:val="28"/>
        </w:rPr>
        <w:t xml:space="preserve"> количество приобретенного спортивного инвентаря и оборудования для занятий водными видами спорта;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- показатели, необходимые для достижения результатов предоставления Субсидии: благоустройство эллинга и наличие спортивного инвентаря и оборудования для занятия водными видами спорта;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заключается дополнительное соглашение к Соглашению о согласовании новых условий Соглашения или дополнительное соглашение о расторжении Соглашения при не достижении согласия по новым условиям.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Субсидия перечисляется Управлением на расчетный счет Получателя субсидии, открытый в кредитной организации, в пределах доведенных объемов финансирования в соответствии с условиями и в срок, определенные Соглашением.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Получатель субсидии после зачисления средств на расчётный счёт обязан в срок, установленный Соглашением, представить в Управление сведения о достигнутых результатах предоставления субсидии, под которыми понимаются количество приобретённого спортивного инвентаря и оборудования для занятий водными видами спорта, благоустройство эллинга, а также заверенные копии платёжных поручений, договоров, актов выполненных работ и иных документов (при необходимости), подтверждающих расходование средств по направлениям расходов, указанным в п. 2.2 настоящего Порядка.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2.11.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Требования, которым должен соответствовать Получатель субсидии на первое число месяца предшествующего месяцу, в котором планируется заключение Соглашения: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Получателя субсидии должна отсутствовать или не превышать размер, определенный п. 3 ст. 47 Налогового кодекса задолженность по уплате налогов, сборов и страховых взносов в бюджеты бюджетной системы  Российской Федерации, а так же отсутствовать просроченная задолженность по возврату в бюджет Вилючинского городского округа субсидий, бюджетных инвестиций, представленных в том числе в соответствии с иными правовыми актами, а так же иная просроченная (неурегулированная) задолженность по денежным обязательствам перед бюджетом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процессе реорганизации (за исключением реорганизации в форме присоединения к юридическому лицу, являющемуся получателем субсидии),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дисквалифицированном руководителе или главном бухгалтере Получателя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местом регистрации которого является государство или территория, включенная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Получатель субсидии не находится в составляемых в рамках реализации полномочий, предусмотренных главой </w:t>
      </w:r>
      <w:r>
        <w:rPr>
          <w:rStyle w:val="Style14"/>
          <w:rFonts w:ascii="Times New Roman" w:hAnsi="Times New Roman"/>
          <w:sz w:val="28"/>
          <w:szCs w:val="28"/>
          <w:lang w:val="en-US"/>
        </w:rPr>
        <w:t>VII</w:t>
      </w:r>
      <w:r>
        <w:rPr>
          <w:rStyle w:val="Style14"/>
          <w:rFonts w:ascii="Times New Roman" w:hAnsi="Times New Roman"/>
          <w:sz w:val="28"/>
          <w:szCs w:val="28"/>
        </w:rPr>
        <w:t xml:space="preserve"> Устава ООН, Советом Безопасности ООН 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распространением оружия массового поражения.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самостоятельно получает сведения о Получателе субсидии из единого государственного реестра юридических лиц, осуществляет сверку информации на официальном сайте Федеральной налоговой службы на странице «Поиск сведений в реестре дисквалифицированных лиц», на официальном сайте Росфинмониторинга на странице «Перечень организаций и физических лиц, в отношении которых имеются сведения об их причастности к экстремистской деятельности или терроризму», запрашивает у главных распорядителей бюджетных средств Вилючинского городского округа о просроченной задолженности перед бюджетом Вилючинского городского округа в срок до 30 дней.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1"/>
          <w:numId w:val="3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Получатель субсидии предоставляет в Управление: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отчет об осуществлении расходов, источником финансового обеспечения которых является субсидия по форме, определенной Приказом № 55, ежеквартально в срок до 01 числа месяца, следующего за отчетным периодом, до момента окончательного использования Получателем субсидии денежных средств, не позднее 1 декабря 2026 года;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- отчет о достигнутых значениях результата предоставления субсидии осуществляется по форме определенной Приказом № 55, ежеквартально в срок до 01 числа месяца, следующего за отчетным периодом, до момента окончательного использования Получателем субсидии денежных средств, не позднее 1 декабря 2026 года.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 xml:space="preserve">3.2. Управление осуществляет проверку отчетов, устанавливает полноту и достоверность сведений, содержащихся в отчетах, прилагаемых к ним документах, материалах и информации в течение 10 рабочих дней </w:t>
      </w:r>
      <w:r>
        <w:rPr>
          <w:rStyle w:val="Style14"/>
          <w:rFonts w:cs="Times New Roman" w:ascii="Times New Roman" w:hAnsi="Times New Roman"/>
          <w:sz w:val="28"/>
          <w:szCs w:val="28"/>
          <w:shd w:fill="FFFFFF" w:val="clear"/>
        </w:rPr>
        <w:t xml:space="preserve">со дня получения </w:t>
      </w:r>
      <w:r>
        <w:rPr>
          <w:rStyle w:val="Style14"/>
          <w:rFonts w:ascii="Times New Roman" w:hAnsi="Times New Roman"/>
          <w:sz w:val="28"/>
          <w:szCs w:val="28"/>
        </w:rPr>
        <w:t>отчетов.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>Отчеты, указанные в пункте 3.1 настоящего Порядка, считаются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 Управления (уполномоченного им лица).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>Отчеты, указанные в пункте 3.1 настоящего Порядка, считаются не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 Управления (уполномоченного им лица) по следующим основаниям:</w:t>
      </w:r>
    </w:p>
    <w:p>
      <w:pPr>
        <w:pStyle w:val="Normal"/>
        <w:ind w:firstLine="567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ab/>
        <w:t>1) непредставление (представление не в полном объеме) отчетов, указанных в пункте 3.1 настоящего Порядка;</w:t>
      </w:r>
    </w:p>
    <w:p>
      <w:pPr>
        <w:pStyle w:val="Normal"/>
        <w:ind w:firstLine="567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ab/>
        <w:t>2) некорректное заполнение (не заполнение) Получателем субсидии всех обязательных для заполнения граф, предусмотренных в отчетах;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3) предоставление отчетов с нарушением сроков, указанных в пункте 3.1</w:t>
      </w:r>
      <w:r>
        <w:rPr>
          <w:rStyle w:val="Style14"/>
          <w:rFonts w:ascii="Times New Roman" w:hAnsi="Times New Roman"/>
          <w:sz w:val="28"/>
          <w:szCs w:val="28"/>
          <w:shd w:fill="FFFF00" w:val="clear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настоящего Порядка.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3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осуществлению контроля (мониторинга) за соблюдением условий и порядка предоставления субсидии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numPr>
          <w:ilvl w:val="1"/>
          <w:numId w:val="3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  <w:shd w:fill="FFFFFF" w:val="clear"/>
        </w:rPr>
        <w:t xml:space="preserve">Управление осуществляет проверку соблюдения Получателем субсидии порядка и условий предоставления субсидии, в том числе в части достижения результатов предоставления субсидии. Орган муниципального финансового контроля осуществляют проверку в соответствии </w:t>
      </w:r>
      <w:r>
        <w:rPr>
          <w:rStyle w:val="Style14"/>
          <w:rFonts w:ascii="Times New Roman" w:hAnsi="Times New Roman"/>
          <w:color w:val="000000"/>
          <w:sz w:val="28"/>
          <w:szCs w:val="28"/>
          <w:shd w:fill="FFFFFF" w:val="clear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о статьей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          268.1.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>В соответствии со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>статьей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269.2 </w:t>
      </w:r>
      <w:r>
        <w:rPr>
          <w:rStyle w:val="Style14"/>
          <w:rFonts w:ascii="Times New Roman" w:hAnsi="Times New Roman"/>
          <w:color w:val="000000"/>
          <w:sz w:val="28"/>
          <w:szCs w:val="28"/>
          <w:shd w:fill="FFFFFF" w:val="clear"/>
        </w:rPr>
        <w:t>Бюджетного кодекса Российской Федерации проверку осуществляет уполномоченный сотрудник администрации Вилючинского городского округа</w:t>
      </w:r>
      <w:r>
        <w:rPr>
          <w:rStyle w:val="Style14"/>
          <w:rFonts w:ascii="Times New Roman" w:hAnsi="Times New Roman"/>
          <w:sz w:val="28"/>
          <w:szCs w:val="28"/>
        </w:rPr>
        <w:t>.</w:t>
      </w:r>
    </w:p>
    <w:p>
      <w:pPr>
        <w:pStyle w:val="Normal"/>
        <w:numPr>
          <w:ilvl w:val="1"/>
          <w:numId w:val="3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случаях нарушения условий предоставления субсидии, недостижения значений результата  или ее нецелевого использования субсидия подлежит возврату в местный бюджет 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35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средств субсидии, не использованный в текущем финансовом году, подлежит возврату в местный бюджет не позднее 10 декабря текущего финансового года.</w:t>
      </w:r>
    </w:p>
    <w:p>
      <w:pPr>
        <w:pStyle w:val="Normal"/>
        <w:numPr>
          <w:ilvl w:val="1"/>
          <w:numId w:val="36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Получателем субсидии пунктов 4.2 и 4.3 раздела 4 настоящего Порядка взыскание средств субсидии в местный бюджет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37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проводит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отражающих факт завершения соответствующего мероприятия по получению результата предоставления субсидии.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32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4"/>
        <w:gridCol w:w="5097"/>
      </w:tblGrid>
      <w:tr>
        <w:trPr/>
        <w:tc>
          <w:tcPr>
            <w:tcW w:w="4534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097" w:type="dxa"/>
            <w:tcBorders/>
          </w:tcPr>
          <w:p>
            <w:pPr>
              <w:pStyle w:val="Normal"/>
              <w:rPr>
                <w:rFonts w:ascii="Times New Roman" w:hAnsi="Times New Roman" w:eastAsia="NSimSun" w:cs="Mangal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Приложение</w:t>
            </w:r>
          </w:p>
          <w:p>
            <w:pPr>
              <w:pStyle w:val="Normal"/>
              <w:rPr/>
            </w:pPr>
            <w:r>
              <w:rPr>
                <w:rStyle w:val="Style14"/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к Порядку предоставления субсидий на финансовое обеспечение затрат для выполнения наказов депутатов Законодательного собрания Камчатского края за счет средств  бюджета Вилючинского городского округа на благоустройство эллинга и приобретение спортивного инвентаря, снаряжения и оборудования для занятий водными видами спорта Камчатской региональной общественной организации «Союз водных видов спорта» на 2026 год</w:t>
            </w:r>
          </w:p>
          <w:p>
            <w:pPr>
              <w:pStyle w:val="Normal"/>
              <w:rPr>
                <w:rFonts w:ascii="Times New Roman" w:hAnsi="Times New Roman" w:eastAsia="NSimSun" w:cs="Mangal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r>
          </w:p>
          <w:p>
            <w:pPr>
              <w:pStyle w:val="Normal"/>
              <w:rPr>
                <w:rFonts w:ascii="Times New Roman" w:hAnsi="Times New Roman" w:eastAsia="NSimSun" w:cs="Mangal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В управление социальной политики администрации Вилючинского городского округа</w:t>
            </w:r>
          </w:p>
        </w:tc>
      </w:tr>
    </w:tbl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sz w:val="26"/>
          <w:szCs w:val="26"/>
        </w:rPr>
        <w:t>о предоставлении субсидий на финансовое обеспечение затрат для выполнения наказов депутатов Законодательного собрания Камчатского края за счет средств бюджета Вилючинского городского округа на благоустройство эллинга и приобретение спортивного инвентаря, снаряжения и оборудования для занятий водными видами спорта Камчатской региональной общественной организации «Союз водных видов спорта» на 2026 год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tabs>
          <w:tab w:val="clear" w:pos="709"/>
        </w:tabs>
        <w:ind w:left="720"/>
        <w:rPr/>
      </w:pPr>
      <w:r>
        <w:rPr>
          <w:rStyle w:val="Style14"/>
          <w:rFonts w:ascii="Times New Roman" w:hAnsi="Times New Roman"/>
          <w:sz w:val="26"/>
          <w:szCs w:val="26"/>
        </w:rPr>
        <w:tab/>
        <w:tab/>
        <w:tab/>
        <w:tab/>
        <w:t xml:space="preserve">   </w:t>
      </w:r>
      <w:r>
        <w:rPr>
          <w:rFonts w:ascii="Times New Roman" w:hAnsi="Times New Roman"/>
        </w:rPr>
        <w:t>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"/>
    <w:lvlOverride w:ilvl="0">
      <w:startOverride w:val="1"/>
    </w:lvlOverride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</w:numbering>
</file>

<file path=word/settings.xml><?xml version="1.0" encoding="utf-8"?>
<w:settings xmlns:w="http://schemas.openxmlformats.org/wordprocessingml/2006/main">
  <w:zoom w:percent="86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WW8Num2z0">
    <w:name w:val="WW8Num2z0"/>
    <w:qFormat/>
    <w:rPr>
      <w:b w:val="false"/>
      <w:bCs w:val="false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5">
    <w:name w:val="Текст выноски Знак"/>
    <w:qFormat/>
    <w:rPr>
      <w:rFonts w:ascii="Tahoma" w:hAnsi="Tahoma" w:eastAsia="Tahoma" w:cs="Tahoma"/>
      <w:sz w:val="16"/>
      <w:szCs w:val="16"/>
    </w:rPr>
  </w:style>
  <w:style w:type="character" w:styleId="WWCharLFO1LVL1">
    <w:name w:val="WW_CharLFO1LVL1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2">
    <w:name w:val="WW_CharLFO1LVL2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3">
    <w:name w:val="WW_CharLFO1LVL3"/>
    <w:qFormat/>
    <w:rPr>
      <w:b w:val="false"/>
      <w:bCs w:val="false"/>
    </w:rPr>
  </w:style>
  <w:style w:type="character" w:styleId="WWCharLFO1LVL4">
    <w:name w:val="WW_CharLFO1LVL4"/>
    <w:qFormat/>
    <w:rPr>
      <w:b w:val="false"/>
      <w:bCs w:val="false"/>
    </w:rPr>
  </w:style>
  <w:style w:type="character" w:styleId="WWCharLFO1LVL5">
    <w:name w:val="WW_CharLFO1LVL5"/>
    <w:qFormat/>
    <w:rPr>
      <w:b w:val="false"/>
      <w:bCs w:val="false"/>
    </w:rPr>
  </w:style>
  <w:style w:type="character" w:styleId="WWCharLFO1LVL6">
    <w:name w:val="WW_CharLFO1LVL6"/>
    <w:qFormat/>
    <w:rPr>
      <w:b w:val="false"/>
      <w:bCs w:val="false"/>
    </w:rPr>
  </w:style>
  <w:style w:type="character" w:styleId="WWCharLFO1LVL7">
    <w:name w:val="WW_CharLFO1LVL7"/>
    <w:qFormat/>
    <w:rPr>
      <w:b w:val="false"/>
      <w:bCs w:val="false"/>
    </w:rPr>
  </w:style>
  <w:style w:type="character" w:styleId="WWCharLFO1LVL8">
    <w:name w:val="WW_CharLFO1LVL8"/>
    <w:qFormat/>
    <w:rPr>
      <w:b w:val="false"/>
      <w:bCs w:val="false"/>
    </w:rPr>
  </w:style>
  <w:style w:type="character" w:styleId="WWCharLFO1LVL9">
    <w:name w:val="WW_CharLFO1LVL9"/>
    <w:qFormat/>
    <w:rPr>
      <w:b w:val="false"/>
      <w:bCs w:val="false"/>
    </w:rPr>
  </w:style>
  <w:style w:type="character" w:styleId="WWCharLFO2LVL1">
    <w:name w:val="WW_CharLFO2LVL1"/>
    <w:qFormat/>
    <w:rPr>
      <w:b w:val="false"/>
      <w:bCs w:val="false"/>
    </w:rPr>
  </w:style>
  <w:style w:type="character" w:styleId="WWCharLFO2LVL2">
    <w:name w:val="WW_CharLFO2LVL2"/>
    <w:qFormat/>
    <w:rPr>
      <w:b w:val="false"/>
      <w:bCs w:val="false"/>
    </w:rPr>
  </w:style>
  <w:style w:type="character" w:styleId="WWCharLFO2LVL3">
    <w:name w:val="WW_CharLFO2LVL3"/>
    <w:qFormat/>
    <w:rPr>
      <w:b w:val="false"/>
      <w:bCs w:val="false"/>
    </w:rPr>
  </w:style>
  <w:style w:type="character" w:styleId="WWCharLFO2LVL4">
    <w:name w:val="WW_CharLFO2LVL4"/>
    <w:qFormat/>
    <w:rPr>
      <w:b w:val="false"/>
      <w:bCs w:val="false"/>
    </w:rPr>
  </w:style>
  <w:style w:type="character" w:styleId="WWCharLFO2LVL5">
    <w:name w:val="WW_CharLFO2LVL5"/>
    <w:qFormat/>
    <w:rPr>
      <w:b w:val="false"/>
      <w:bCs w:val="false"/>
    </w:rPr>
  </w:style>
  <w:style w:type="character" w:styleId="WWCharLFO2LVL6">
    <w:name w:val="WW_CharLFO2LVL6"/>
    <w:qFormat/>
    <w:rPr>
      <w:b w:val="false"/>
      <w:bCs w:val="false"/>
    </w:rPr>
  </w:style>
  <w:style w:type="character" w:styleId="WWCharLFO2LVL7">
    <w:name w:val="WW_CharLFO2LVL7"/>
    <w:qFormat/>
    <w:rPr>
      <w:b w:val="false"/>
      <w:bCs w:val="false"/>
    </w:rPr>
  </w:style>
  <w:style w:type="character" w:styleId="WWCharLFO2LVL8">
    <w:name w:val="WW_CharLFO2LVL8"/>
    <w:qFormat/>
    <w:rPr>
      <w:b w:val="false"/>
      <w:bCs w:val="false"/>
    </w:rPr>
  </w:style>
  <w:style w:type="character" w:styleId="WWCharLFO2LVL9">
    <w:name w:val="WW_CharLFO2LVL9"/>
    <w:qFormat/>
    <w:rPr>
      <w:b w:val="false"/>
      <w:bCs w:val="false"/>
    </w:rPr>
  </w:style>
  <w:style w:type="paragraph" w:styleId="Style16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  <w:suppressAutoHyphens w:val="true"/>
    </w:pPr>
    <w:rPr/>
  </w:style>
  <w:style w:type="paragraph" w:styleId="Style18">
    <w:name w:val="Обычный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19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0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1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Style22">
    <w:name w:val="Текст выноски"/>
    <w:basedOn w:val="Normal"/>
    <w:qFormat/>
    <w:pPr>
      <w:suppressAutoHyphens w:val="true"/>
    </w:pPr>
    <w:rPr>
      <w:rFonts w:ascii="Tahoma" w:hAnsi="Tahoma" w:eastAsia="Tahoma" w:cs="Tahoma"/>
      <w:sz w:val="16"/>
      <w:szCs w:val="16"/>
    </w:rPr>
  </w:style>
  <w:style w:type="paragraph" w:styleId="ConsPlusTitle">
    <w:name w:val="ConsPlusTitle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nformat">
    <w:name w:val="ConsPlusNonformat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rmal">
    <w:name w:val="ConsPlus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ind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2">
    <w:name w:val="Основной текст 2"/>
    <w:basedOn w:val="Normal"/>
    <w:qFormat/>
    <w:pPr>
      <w:suppressAutoHyphens w:val="true"/>
    </w:pPr>
    <w:rPr>
      <w:sz w:val="28"/>
    </w:rPr>
  </w:style>
  <w:style w:type="paragraph" w:styleId="Style23">
    <w:name w:val="Схема документа"/>
    <w:basedOn w:val="Normal"/>
    <w:qFormat/>
    <w:pPr>
      <w:shd w:val="clear" w:fill="000080"/>
      <w:suppressAutoHyphens w:val="true"/>
    </w:pPr>
    <w:rPr>
      <w:rFonts w:ascii="Tahoma" w:hAnsi="Tahoma" w:eastAsia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687</TotalTime>
  <Application>LibreOffice/7.6.7.2$Linux_X86_64 LibreOffice_project/60$Build-2</Application>
  <AppVersion>15.0000</AppVersion>
  <Pages>8</Pages>
  <Words>2177</Words>
  <Characters>16471</Characters>
  <CharactersWithSpaces>18591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2025-03-18T04:34:00Z</dcterms:created>
  <dc:creator/>
  <dc:description/>
  <dc:language>ru-RU</dc:language>
  <cp:lastModifiedBy/>
  <cp:lastPrinted>2026-03-04T17:28:38Z</cp:lastPrinted>
  <dcterms:modified xsi:type="dcterms:W3CDTF">2026-03-13T12:44:30Z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