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mallCaps/>
          <w:sz w:val="28"/>
          <w:szCs w:val="28"/>
        </w:rPr>
      </w:pPr>
      <w:r>
        <w:rPr>
          <w:smallCaps/>
          <w:sz w:val="28"/>
          <w:szCs w:val="28"/>
        </w:rPr>
        <w:t>Администрация Вилючинского городского округа</w:t>
      </w:r>
    </w:p>
    <w:p>
      <w:pPr>
        <w:pStyle w:val="Normal"/>
        <w:jc w:val="center"/>
        <w:rPr>
          <w:smallCaps/>
          <w:sz w:val="28"/>
          <w:szCs w:val="28"/>
        </w:rPr>
      </w:pPr>
      <w:r>
        <w:rPr>
          <w:smallCaps/>
          <w:sz w:val="28"/>
          <w:szCs w:val="28"/>
        </w:rPr>
        <w:t xml:space="preserve">закрытого административно-территориального образования </w:t>
      </w:r>
    </w:p>
    <w:p>
      <w:pPr>
        <w:pStyle w:val="Normal"/>
        <w:jc w:val="center"/>
        <w:rPr>
          <w:smallCaps/>
          <w:sz w:val="28"/>
          <w:szCs w:val="28"/>
        </w:rPr>
      </w:pPr>
      <w:r>
        <w:rPr>
          <w:smallCaps/>
          <w:sz w:val="28"/>
          <w:szCs w:val="28"/>
        </w:rPr>
        <w:t>города Вилючинска Камчатского края</w:t>
      </w:r>
    </w:p>
    <w:p>
      <w:pPr>
        <w:pStyle w:val="Normal"/>
        <w:rPr>
          <w:smallCaps/>
          <w:sz w:val="28"/>
          <w:szCs w:val="28"/>
        </w:rPr>
      </w:pPr>
      <w:r>
        <w:rPr>
          <w:smallCaps/>
          <w:sz w:val="28"/>
          <w:szCs w:val="28"/>
        </w:rPr>
      </w:r>
    </w:p>
    <w:p>
      <w:pPr>
        <w:pStyle w:val="Normal"/>
        <w:rPr>
          <w:smallCaps/>
          <w:sz w:val="28"/>
          <w:szCs w:val="28"/>
        </w:rPr>
      </w:pPr>
      <w:r>
        <w:rPr>
          <w:smallCaps/>
          <w:sz w:val="28"/>
          <w:szCs w:val="28"/>
        </w:rPr>
      </w:r>
    </w:p>
    <w:p>
      <w:pPr>
        <w:pStyle w:val="Heading1"/>
        <w:ind w:hanging="0" w:start="0" w:end="0"/>
        <w:rPr>
          <w:sz w:val="28"/>
        </w:rPr>
      </w:pPr>
      <w:r>
        <w:rPr/>
        <w:t>ПОСТАНОВЛЕНИЕ</w:t>
      </w:r>
    </w:p>
    <w:p>
      <w:pPr>
        <w:pStyle w:val="Normal"/>
        <w:rPr>
          <w:sz w:val="28"/>
        </w:rPr>
      </w:pPr>
      <w:r>
        <w:rPr>
          <w:sz w:val="28"/>
        </w:rPr>
      </w:r>
    </w:p>
    <w:p>
      <w:pPr>
        <w:pStyle w:val="Normal"/>
        <w:rPr>
          <w:sz w:val="28"/>
          <w:szCs w:val="28"/>
        </w:rPr>
      </w:pPr>
      <w:r>
        <w:rPr>
          <w:sz w:val="28"/>
          <w:szCs w:val="28"/>
        </w:rPr>
        <w:t>_______________                                                                                       № _____</w:t>
      </w:r>
    </w:p>
    <w:p>
      <w:pPr>
        <w:pStyle w:val="Normal"/>
        <w:rPr>
          <w:sz w:val="28"/>
          <w:szCs w:val="28"/>
        </w:rPr>
      </w:pPr>
      <w:r>
        <w:rPr>
          <w:sz w:val="28"/>
          <w:szCs w:val="28"/>
        </w:rPr>
      </w:r>
    </w:p>
    <w:p>
      <w:pPr>
        <w:pStyle w:val="Style18"/>
        <w:rPr/>
      </w:pPr>
      <w:r>
        <w:rPr/>
        <w:t>г. Вилючинск</w:t>
      </w:r>
    </w:p>
    <w:p>
      <w:pPr>
        <w:pStyle w:val="Normal"/>
        <w:rPr/>
      </w:pPr>
      <w:r>
        <w:rPr/>
      </w:r>
    </w:p>
    <w:p>
      <w:pPr>
        <w:pStyle w:val="Heading2"/>
        <w:ind w:hanging="0" w:start="0" w:end="0"/>
        <w:rPr>
          <w:szCs w:val="28"/>
        </w:rPr>
      </w:pPr>
      <w:r>
        <w:rPr>
          <w:szCs w:val="28"/>
        </w:rPr>
        <w:t xml:space="preserve">О внесении изменения в </w:t>
      </w:r>
    </w:p>
    <w:p>
      <w:pPr>
        <w:pStyle w:val="Heading2"/>
        <w:ind w:hanging="0" w:start="0" w:end="0"/>
        <w:rPr>
          <w:szCs w:val="28"/>
        </w:rPr>
      </w:pPr>
      <w:r>
        <w:rPr>
          <w:szCs w:val="28"/>
        </w:rPr>
        <w:t>муниципальную программу</w:t>
      </w:r>
    </w:p>
    <w:p>
      <w:pPr>
        <w:pStyle w:val="Heading2"/>
        <w:ind w:hanging="0" w:start="0" w:end="0"/>
        <w:rPr>
          <w:szCs w:val="28"/>
        </w:rPr>
      </w:pPr>
      <w:r>
        <w:rPr>
          <w:szCs w:val="28"/>
        </w:rPr>
        <w:t xml:space="preserve">«Развитие экономики, малого </w:t>
      </w:r>
    </w:p>
    <w:p>
      <w:pPr>
        <w:pStyle w:val="Heading2"/>
        <w:ind w:hanging="0" w:start="0" w:end="0"/>
        <w:rPr>
          <w:szCs w:val="28"/>
        </w:rPr>
      </w:pPr>
      <w:r>
        <w:rPr>
          <w:szCs w:val="28"/>
        </w:rPr>
        <w:t xml:space="preserve">и среднего предпринимательства </w:t>
      </w:r>
    </w:p>
    <w:p>
      <w:pPr>
        <w:pStyle w:val="Heading2"/>
        <w:ind w:hanging="0" w:start="0" w:end="0"/>
        <w:rPr>
          <w:szCs w:val="28"/>
        </w:rPr>
      </w:pPr>
      <w:r>
        <w:rPr>
          <w:szCs w:val="28"/>
        </w:rPr>
        <w:t xml:space="preserve">и формирование благоприятной </w:t>
      </w:r>
    </w:p>
    <w:p>
      <w:pPr>
        <w:pStyle w:val="Heading2"/>
        <w:ind w:hanging="0" w:start="0" w:end="0"/>
        <w:rPr>
          <w:szCs w:val="28"/>
        </w:rPr>
      </w:pPr>
      <w:r>
        <w:rPr>
          <w:szCs w:val="28"/>
        </w:rPr>
        <w:t xml:space="preserve">инвестиционной среды в </w:t>
      </w:r>
    </w:p>
    <w:p>
      <w:pPr>
        <w:pStyle w:val="Heading2"/>
        <w:ind w:hanging="0" w:start="0" w:end="0"/>
        <w:rPr/>
      </w:pPr>
      <w:r>
        <w:rPr>
          <w:szCs w:val="28"/>
        </w:rPr>
        <w:t>Вилючинском городском округе»</w:t>
      </w:r>
    </w:p>
    <w:p>
      <w:pPr>
        <w:pStyle w:val="Heading2"/>
        <w:ind w:hanging="0" w:start="0" w:end="0"/>
        <w:rPr>
          <w:sz w:val="28"/>
        </w:rPr>
      </w:pPr>
      <w:r>
        <w:rPr/>
        <w:tab/>
      </w:r>
    </w:p>
    <w:p>
      <w:pPr>
        <w:pStyle w:val="Normal"/>
        <w:ind w:firstLine="708" w:end="0"/>
        <w:jc w:val="both"/>
        <w:rPr>
          <w:sz w:val="28"/>
        </w:rPr>
      </w:pPr>
      <w:r>
        <w:rPr>
          <w:sz w:val="28"/>
        </w:rPr>
        <w:t>В соответствии со статьей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w:t>
      </w:r>
      <w:r>
        <w:rPr/>
        <w:t xml:space="preserve"> </w:t>
      </w:r>
      <w:r>
        <w:rPr>
          <w:sz w:val="28"/>
        </w:rPr>
        <w:t xml:space="preserve">Федеральным законом от 24.07.2007 № 209-ФЗ «О развитии малого и среднего предпринимательства в Российской Федерации», Федеральным законом от 28.12.2009 № 381-ФЗ «Об основах государственного регулирования торговой деятельности в Российской Федерации», </w:t>
      </w:r>
      <w:r>
        <w:rPr>
          <w:sz w:val="28"/>
          <w:szCs w:val="28"/>
        </w:rPr>
        <w:t>Порядком принятия решений о разработке муниципальных программ</w:t>
      </w:r>
      <w:r>
        <w:rPr>
          <w:sz w:val="28"/>
        </w:rPr>
        <w:t xml:space="preserve">, их формирования, реализации, проведения и критериями оценки эффективности реализации муниципальных программ, утвержденными постановлением администрации Вилючинского городского округа </w:t>
      </w:r>
      <w:r>
        <w:rPr>
          <w:sz w:val="28"/>
          <w:szCs w:val="28"/>
        </w:rPr>
        <w:t>от 10.09.2013 № 1286</w:t>
      </w:r>
      <w:r>
        <w:rPr>
          <w:sz w:val="28"/>
        </w:rPr>
        <w:t>, решением Думы Вилючинского городского округа от 22.12.2025 № 31/7-8 «О местном бюджете на 2026 год и на плановый период 2027 и 2028 годов»</w:t>
      </w:r>
    </w:p>
    <w:p>
      <w:pPr>
        <w:pStyle w:val="Normal"/>
        <w:ind w:firstLine="708" w:end="0"/>
        <w:rPr>
          <w:sz w:val="28"/>
        </w:rPr>
      </w:pPr>
      <w:r>
        <w:rPr>
          <w:sz w:val="28"/>
        </w:rPr>
      </w:r>
    </w:p>
    <w:p>
      <w:pPr>
        <w:pStyle w:val="Normal"/>
        <w:rPr>
          <w:b/>
          <w:bCs/>
          <w:sz w:val="28"/>
        </w:rPr>
      </w:pPr>
      <w:r>
        <w:rPr>
          <w:b/>
          <w:bCs/>
          <w:sz w:val="28"/>
        </w:rPr>
        <w:t>ПОСТАНОВЛЯЮ:</w:t>
      </w:r>
    </w:p>
    <w:p>
      <w:pPr>
        <w:pStyle w:val="Normal"/>
        <w:ind w:firstLine="708" w:end="0"/>
        <w:rPr>
          <w:b/>
          <w:bCs/>
          <w:sz w:val="28"/>
        </w:rPr>
      </w:pPr>
      <w:r>
        <w:rPr>
          <w:b/>
          <w:bCs/>
          <w:sz w:val="28"/>
        </w:rPr>
      </w:r>
    </w:p>
    <w:p>
      <w:pPr>
        <w:pStyle w:val="Normal"/>
        <w:numPr>
          <w:ilvl w:val="0"/>
          <w:numId w:val="7"/>
        </w:numPr>
        <w:ind w:firstLine="708" w:start="0" w:end="0"/>
        <w:jc w:val="both"/>
        <w:rPr>
          <w:bCs/>
          <w:sz w:val="28"/>
          <w:szCs w:val="28"/>
        </w:rPr>
      </w:pPr>
      <w:r>
        <w:rPr>
          <w:bCs/>
          <w:sz w:val="28"/>
          <w:szCs w:val="28"/>
        </w:rPr>
        <w:t xml:space="preserve">Внести в муниципальную программу «Развитие экономики, малого и среднего предпринимательства и формирование благоприятной инвестиционной среды в Вилючинском городском округе», утвержденную постановлением администрации Вилючинского городского округа </w:t>
        <w:br/>
        <w:t>от 17.12.2015 № 1621, изменение, изложив приложение к постановлению в редакции согласно приложению к настоящему постановлению.</w:t>
      </w:r>
    </w:p>
    <w:p>
      <w:pPr>
        <w:pStyle w:val="Normal"/>
        <w:ind w:firstLine="708" w:end="0"/>
        <w:jc w:val="both"/>
        <w:rPr>
          <w:sz w:val="28"/>
          <w:szCs w:val="28"/>
        </w:rPr>
      </w:pPr>
      <w:r>
        <w:rPr>
          <w:bCs/>
          <w:sz w:val="28"/>
          <w:szCs w:val="28"/>
        </w:rPr>
        <w:t xml:space="preserve">2. </w:t>
      </w:r>
      <w:r>
        <w:rPr>
          <w:sz w:val="28"/>
          <w:szCs w:val="28"/>
        </w:rPr>
        <w:t>Директору муниципального казенного учреждения «Ресурсно-информационный центр» Вилючинского городского округа О.Ю. Трофимовой опубликовать настоящее постановление в «Вилючинская газета. Официальные известия Вилючинского городского округа ЗАТО г. Вилючинска Камчатского края» и разместить на официальном сайте органов местного самоуправления Вилючинского городского округа в информационно-телекоммуникационной сети «Интернет».</w:t>
      </w:r>
    </w:p>
    <w:p>
      <w:pPr>
        <w:pStyle w:val="Normal"/>
        <w:ind w:firstLine="709" w:end="0"/>
        <w:jc w:val="both"/>
        <w:rPr>
          <w:sz w:val="28"/>
          <w:szCs w:val="28"/>
        </w:rPr>
      </w:pPr>
      <w:r>
        <w:rPr>
          <w:sz w:val="28"/>
          <w:szCs w:val="28"/>
        </w:rPr>
        <w:t>3. Настоящее постановление вступает в силу после дня его официального опубликования.</w:t>
      </w:r>
    </w:p>
    <w:p>
      <w:pPr>
        <w:pStyle w:val="Normal"/>
        <w:tabs>
          <w:tab w:val="clear" w:pos="708"/>
          <w:tab w:val="left" w:pos="4536" w:leader="none"/>
        </w:tabs>
        <w:suppressAutoHyphens w:val="true"/>
        <w:autoSpaceDE w:val="false"/>
        <w:ind w:firstLine="709" w:end="0"/>
        <w:jc w:val="both"/>
        <w:rPr>
          <w:sz w:val="28"/>
          <w:szCs w:val="28"/>
        </w:rPr>
      </w:pPr>
      <w:r>
        <w:rPr>
          <w:sz w:val="28"/>
          <w:szCs w:val="28"/>
        </w:rPr>
      </w:r>
    </w:p>
    <w:p>
      <w:pPr>
        <w:pStyle w:val="Normal"/>
        <w:ind w:firstLine="708" w:end="0"/>
        <w:jc w:val="both"/>
        <w:rPr>
          <w:sz w:val="28"/>
          <w:szCs w:val="28"/>
        </w:rPr>
      </w:pPr>
      <w:r>
        <w:rPr>
          <w:sz w:val="28"/>
          <w:szCs w:val="28"/>
        </w:rPr>
      </w:r>
    </w:p>
    <w:p>
      <w:pPr>
        <w:pStyle w:val="Normal"/>
        <w:tabs>
          <w:tab w:val="clear" w:pos="708"/>
          <w:tab w:val="left" w:pos="720" w:leader="none"/>
        </w:tabs>
        <w:rPr>
          <w:b/>
          <w:sz w:val="28"/>
          <w:szCs w:val="28"/>
        </w:rPr>
      </w:pPr>
      <w:r>
        <w:rPr>
          <w:b/>
          <w:sz w:val="28"/>
          <w:szCs w:val="28"/>
        </w:rPr>
        <w:t>Глава Вилючинского</w:t>
      </w:r>
    </w:p>
    <w:p>
      <w:pPr>
        <w:pStyle w:val="Normal"/>
        <w:tabs>
          <w:tab w:val="clear" w:pos="708"/>
          <w:tab w:val="left" w:pos="720" w:leader="none"/>
        </w:tabs>
        <w:rPr>
          <w:b/>
          <w:sz w:val="28"/>
          <w:szCs w:val="28"/>
        </w:rPr>
      </w:pPr>
      <w:r>
        <w:rPr>
          <w:b/>
          <w:sz w:val="28"/>
          <w:szCs w:val="28"/>
        </w:rPr>
        <w:t>городского округа</w:t>
        <w:tab/>
        <w:tab/>
        <w:tab/>
        <w:tab/>
        <w:tab/>
        <w:tab/>
        <w:tab/>
        <w:t xml:space="preserve">     О.С. Бондаренко</w:t>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tabs>
          <w:tab w:val="clear" w:pos="708"/>
          <w:tab w:val="left" w:pos="720" w:leader="none"/>
        </w:tabs>
        <w:rPr>
          <w:b/>
          <w:sz w:val="28"/>
          <w:szCs w:val="28"/>
        </w:rPr>
      </w:pPr>
      <w:r>
        <w:rPr>
          <w:b/>
          <w:sz w:val="28"/>
          <w:szCs w:val="28"/>
        </w:rPr>
      </w:r>
    </w:p>
    <w:p>
      <w:pPr>
        <w:pStyle w:val="Normal"/>
        <w:ind w:start="5387" w:end="0"/>
        <w:rPr>
          <w:sz w:val="28"/>
          <w:szCs w:val="28"/>
        </w:rPr>
      </w:pPr>
      <w:r>
        <w:rPr>
          <w:sz w:val="28"/>
          <w:szCs w:val="28"/>
        </w:rPr>
        <w:t xml:space="preserve">Приложение </w:t>
      </w:r>
    </w:p>
    <w:p>
      <w:pPr>
        <w:pStyle w:val="Normal"/>
        <w:ind w:start="5387" w:end="0"/>
        <w:rPr>
          <w:sz w:val="28"/>
          <w:szCs w:val="28"/>
        </w:rPr>
      </w:pPr>
      <w:r>
        <w:rPr>
          <w:sz w:val="28"/>
          <w:szCs w:val="28"/>
        </w:rPr>
        <w:t>к постановлению администрации</w:t>
      </w:r>
    </w:p>
    <w:p>
      <w:pPr>
        <w:pStyle w:val="Normal"/>
        <w:ind w:start="5387" w:end="0"/>
        <w:rPr>
          <w:sz w:val="28"/>
          <w:szCs w:val="28"/>
        </w:rPr>
      </w:pPr>
      <w:r>
        <w:rPr>
          <w:sz w:val="28"/>
          <w:szCs w:val="28"/>
        </w:rPr>
        <w:t>Вилючинского городского округа</w:t>
      </w:r>
    </w:p>
    <w:p>
      <w:pPr>
        <w:pStyle w:val="Normal"/>
        <w:ind w:start="5387" w:end="0"/>
        <w:rPr>
          <w:sz w:val="28"/>
          <w:szCs w:val="28"/>
        </w:rPr>
      </w:pPr>
      <w:r>
        <w:rPr>
          <w:sz w:val="28"/>
          <w:szCs w:val="28"/>
        </w:rPr>
        <w:t>от ____________ № ______</w:t>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center"/>
        <w:rPr>
          <w:b/>
          <w:caps/>
          <w:sz w:val="22"/>
          <w:szCs w:val="28"/>
        </w:rPr>
      </w:pPr>
      <w:r>
        <w:rPr>
          <w:b/>
          <w:sz w:val="28"/>
          <w:szCs w:val="28"/>
        </w:rPr>
        <w:t>МУНИЦИПАЛЬНАЯ ПРОГРАММА</w:t>
      </w:r>
    </w:p>
    <w:p>
      <w:pPr>
        <w:pStyle w:val="Normal"/>
        <w:spacing w:before="0" w:after="120"/>
        <w:ind w:end="426"/>
        <w:jc w:val="center"/>
        <w:rPr>
          <w:b/>
          <w:caps/>
          <w:sz w:val="22"/>
          <w:szCs w:val="28"/>
        </w:rPr>
      </w:pPr>
      <w:r>
        <w:rPr>
          <w:b/>
          <w:caps/>
          <w:sz w:val="22"/>
          <w:szCs w:val="28"/>
        </w:rPr>
        <w:t>Развитие экономики, малого и среднего предпринимательства</w:t>
      </w:r>
    </w:p>
    <w:p>
      <w:pPr>
        <w:pStyle w:val="Normal"/>
        <w:spacing w:before="0" w:after="120"/>
        <w:ind w:end="426"/>
        <w:jc w:val="center"/>
        <w:rPr>
          <w:b/>
          <w:caps/>
          <w:sz w:val="22"/>
          <w:szCs w:val="28"/>
        </w:rPr>
      </w:pPr>
      <w:r>
        <w:rPr>
          <w:b/>
          <w:caps/>
          <w:sz w:val="22"/>
          <w:szCs w:val="28"/>
        </w:rPr>
        <w:t>и формирование благоприятной инвестиционной среды</w:t>
      </w:r>
    </w:p>
    <w:p>
      <w:pPr>
        <w:pStyle w:val="Normal"/>
        <w:spacing w:before="0" w:after="120"/>
        <w:ind w:end="426"/>
        <w:jc w:val="center"/>
        <w:rPr>
          <w:b/>
          <w:caps/>
          <w:sz w:val="28"/>
          <w:szCs w:val="28"/>
        </w:rPr>
      </w:pPr>
      <w:r>
        <w:rPr>
          <w:b/>
          <w:caps/>
          <w:sz w:val="22"/>
          <w:szCs w:val="28"/>
        </w:rPr>
        <w:t xml:space="preserve">в Вилючинском городском округе </w:t>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b/>
          <w:caps/>
          <w:sz w:val="28"/>
          <w:szCs w:val="28"/>
        </w:rPr>
      </w:pPr>
      <w:r>
        <w:rPr>
          <w:b/>
          <w:caps/>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both"/>
        <w:rPr>
          <w:sz w:val="28"/>
          <w:szCs w:val="28"/>
        </w:rPr>
      </w:pPr>
      <w:r>
        <w:rPr>
          <w:sz w:val="28"/>
          <w:szCs w:val="28"/>
        </w:rPr>
      </w:r>
    </w:p>
    <w:p>
      <w:pPr>
        <w:pStyle w:val="Normal"/>
        <w:spacing w:before="0" w:after="120"/>
        <w:ind w:end="426"/>
        <w:jc w:val="center"/>
        <w:rPr>
          <w:b/>
          <w:sz w:val="28"/>
          <w:szCs w:val="28"/>
        </w:rPr>
      </w:pPr>
      <w:r>
        <w:rPr>
          <w:b/>
          <w:sz w:val="28"/>
          <w:szCs w:val="28"/>
        </w:rPr>
        <w:t>Камчатский край, г. Вилючинск</w:t>
      </w:r>
    </w:p>
    <w:p>
      <w:pPr>
        <w:pStyle w:val="Normal"/>
        <w:ind w:end="426"/>
        <w:jc w:val="center"/>
        <w:rPr>
          <w:b/>
          <w:sz w:val="28"/>
          <w:szCs w:val="28"/>
        </w:rPr>
      </w:pPr>
      <w:r>
        <w:rPr>
          <w:b/>
          <w:sz w:val="28"/>
          <w:szCs w:val="28"/>
        </w:rPr>
        <w:t>2026 год</w:t>
      </w:r>
    </w:p>
    <w:p>
      <w:pPr>
        <w:pStyle w:val="Normal"/>
        <w:ind w:end="426"/>
        <w:jc w:val="center"/>
        <w:rPr>
          <w:b/>
          <w:sz w:val="28"/>
          <w:szCs w:val="28"/>
        </w:rPr>
      </w:pPr>
      <w:r>
        <w:rPr>
          <w:b/>
          <w:sz w:val="28"/>
          <w:szCs w:val="28"/>
        </w:rPr>
        <w:t>Паспорт</w:t>
      </w:r>
    </w:p>
    <w:p>
      <w:pPr>
        <w:pStyle w:val="Normal"/>
        <w:ind w:end="426"/>
        <w:jc w:val="center"/>
        <w:rPr>
          <w:sz w:val="28"/>
          <w:szCs w:val="28"/>
        </w:rPr>
      </w:pPr>
      <w:r>
        <w:rPr/>
        <w:t xml:space="preserve">муниципальной программы «Развитие экономики, малого и среднего предпринимательства и формирование благоприятной инвестиционной среды в Вилючинском городском округе»  </w:t>
      </w:r>
    </w:p>
    <w:tbl>
      <w:tblPr>
        <w:tblW w:w="9639" w:type="dxa"/>
        <w:jc w:val="start"/>
        <w:tblInd w:w="108" w:type="dxa"/>
        <w:tblLayout w:type="fixed"/>
        <w:tblCellMar>
          <w:top w:w="0" w:type="dxa"/>
          <w:start w:w="108" w:type="dxa"/>
          <w:bottom w:w="0" w:type="dxa"/>
          <w:end w:w="108" w:type="dxa"/>
        </w:tblCellMar>
      </w:tblPr>
      <w:tblGrid>
        <w:gridCol w:w="3261"/>
        <w:gridCol w:w="6378"/>
      </w:tblGrid>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Наименование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4820" w:leader="none"/>
              </w:tabs>
              <w:ind w:start="33" w:end="426"/>
              <w:rPr>
                <w:sz w:val="28"/>
                <w:szCs w:val="28"/>
              </w:rPr>
            </w:pPr>
            <w:r>
              <w:rPr>
                <w:sz w:val="28"/>
                <w:szCs w:val="28"/>
              </w:rPr>
              <w:t xml:space="preserve">Муниципальная программа </w:t>
              <w:br/>
              <w:t xml:space="preserve">«Развитие экономики, малого и среднего предпринимательства и формирование благоприятной инвестиционной среды в Вилючинском городском округе» </w:t>
              <w:br/>
              <w:t>(далее – Программа).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 xml:space="preserve">Наименование подпрограмм </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709" w:leader="none"/>
                <w:tab w:val="left" w:pos="4820" w:leader="none"/>
              </w:tabs>
              <w:ind w:start="33" w:end="426"/>
              <w:rPr>
                <w:rFonts w:eastAsia="Calibri"/>
                <w:sz w:val="28"/>
                <w:szCs w:val="28"/>
                <w:lang w:eastAsia="en-US"/>
              </w:rPr>
            </w:pPr>
            <w:r>
              <w:rPr>
                <w:rFonts w:eastAsia="Calibri"/>
                <w:sz w:val="28"/>
                <w:szCs w:val="28"/>
                <w:lang w:eastAsia="en-US"/>
              </w:rPr>
              <w:t xml:space="preserve">Подпрограмма 1 «Инвестиционный климат </w:t>
              <w:br/>
              <w:t>в Вилючинском городском округе».</w:t>
            </w:r>
          </w:p>
          <w:p>
            <w:pPr>
              <w:pStyle w:val="Normal"/>
              <w:tabs>
                <w:tab w:val="clear" w:pos="708"/>
                <w:tab w:val="left" w:pos="709" w:leader="none"/>
                <w:tab w:val="left" w:pos="4820" w:leader="none"/>
              </w:tabs>
              <w:ind w:start="33" w:end="426"/>
              <w:rPr/>
            </w:pPr>
            <w:r>
              <w:rPr>
                <w:rFonts w:eastAsia="Calibri"/>
                <w:sz w:val="28"/>
                <w:szCs w:val="28"/>
                <w:lang w:eastAsia="en-US"/>
              </w:rPr>
              <w:t xml:space="preserve">Подпрограмма 2 </w:t>
            </w:r>
            <w:r>
              <w:rPr>
                <w:sz w:val="28"/>
                <w:szCs w:val="28"/>
              </w:rPr>
              <w:t>«Развитие малого и среднего предпринимательства».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Основание для разработки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autoSpaceDE w:val="false"/>
              <w:ind w:start="33" w:end="0"/>
              <w:rPr>
                <w:sz w:val="28"/>
                <w:szCs w:val="28"/>
              </w:rPr>
            </w:pPr>
            <w:r>
              <w:rPr>
                <w:rFonts w:eastAsia="Calibri"/>
                <w:sz w:val="28"/>
                <w:szCs w:val="28"/>
                <w:lang w:eastAsia="en-US"/>
              </w:rPr>
              <w:t>Бюджетный кодекс Российской Федерации</w:t>
            </w:r>
            <w:r>
              <w:rPr>
                <w:sz w:val="28"/>
                <w:szCs w:val="28"/>
              </w:rPr>
              <w:t xml:space="preserve">. </w:t>
            </w:r>
          </w:p>
          <w:p>
            <w:pPr>
              <w:pStyle w:val="Normal"/>
              <w:autoSpaceDE w:val="false"/>
              <w:ind w:start="33" w:end="0"/>
              <w:rPr>
                <w:sz w:val="28"/>
                <w:szCs w:val="28"/>
              </w:rPr>
            </w:pPr>
            <w:r>
              <w:rPr>
                <w:sz w:val="28"/>
                <w:szCs w:val="28"/>
              </w:rPr>
              <w:t xml:space="preserve">Федеральный закон от 25.02.1999 № 39-ФЗ </w:t>
              <w:br/>
              <w:t>«Об инвестиционной деятельности в Российской Федерации, осуществляемой в форме капитальных вложений».</w:t>
            </w:r>
          </w:p>
          <w:p>
            <w:pPr>
              <w:pStyle w:val="Normal"/>
              <w:autoSpaceDE w:val="false"/>
              <w:ind w:start="33" w:end="0"/>
              <w:rPr>
                <w:sz w:val="28"/>
                <w:szCs w:val="28"/>
              </w:rPr>
            </w:pPr>
            <w:r>
              <w:rPr>
                <w:sz w:val="28"/>
                <w:szCs w:val="28"/>
              </w:rPr>
              <w:t xml:space="preserve">Федеральный закон от 06.10.2003 № 131-ФЗ </w:t>
              <w:br/>
              <w:t>«Об общих принципах организации местного самоуправления в Российской Федерации».</w:t>
            </w:r>
          </w:p>
          <w:p>
            <w:pPr>
              <w:pStyle w:val="Normal"/>
              <w:autoSpaceDE w:val="false"/>
              <w:ind w:start="33" w:end="0"/>
              <w:rPr>
                <w:sz w:val="28"/>
                <w:szCs w:val="28"/>
              </w:rPr>
            </w:pPr>
            <w:r>
              <w:rPr>
                <w:sz w:val="28"/>
                <w:szCs w:val="28"/>
              </w:rPr>
              <w:t>Федеральный закон от 24.07.2007 № 209-ФЗ</w:t>
              <w:br/>
              <w:t>«О развитии малого и среднего предпринимательства в Российской Федерации».</w:t>
            </w:r>
          </w:p>
          <w:p>
            <w:pPr>
              <w:pStyle w:val="Normal"/>
              <w:autoSpaceDE w:val="false"/>
              <w:ind w:start="33" w:end="0"/>
              <w:rPr>
                <w:sz w:val="28"/>
                <w:szCs w:val="28"/>
              </w:rPr>
            </w:pPr>
            <w:r>
              <w:rPr>
                <w:sz w:val="28"/>
                <w:szCs w:val="28"/>
              </w:rPr>
              <w:t xml:space="preserve">Федеральный закон от 01.04.2020 № 69-ФЗ </w:t>
              <w:br/>
              <w:t>«О защите и поощрении капиталовложений в Российской Федерации».</w:t>
            </w:r>
          </w:p>
          <w:p>
            <w:pPr>
              <w:pStyle w:val="Normal"/>
              <w:autoSpaceDE w:val="false"/>
              <w:ind w:start="33" w:end="0"/>
              <w:rPr>
                <w:sz w:val="28"/>
                <w:szCs w:val="28"/>
              </w:rPr>
            </w:pPr>
            <w:r>
              <w:rPr>
                <w:sz w:val="28"/>
                <w:szCs w:val="28"/>
              </w:rPr>
              <w:t>Закон Камчатского края от 18.06.2008 № 71</w:t>
              <w:br/>
              <w:t>«О развитии малого и среднего предпринимательства в Камчатском крае».</w:t>
            </w:r>
          </w:p>
          <w:p>
            <w:pPr>
              <w:pStyle w:val="Normal"/>
              <w:autoSpaceDE w:val="false"/>
              <w:ind w:start="33" w:end="0"/>
              <w:rPr>
                <w:sz w:val="28"/>
                <w:szCs w:val="28"/>
              </w:rPr>
            </w:pPr>
            <w:r>
              <w:rPr>
                <w:sz w:val="28"/>
                <w:szCs w:val="28"/>
              </w:rPr>
              <w:t>Закон Камчатского края от 19.12.2022 № 162</w:t>
              <w:br/>
              <w:t>«О государственной поддержке инвестиционной деятельности в Камчатском крае».</w:t>
            </w:r>
          </w:p>
          <w:p>
            <w:pPr>
              <w:pStyle w:val="Normal"/>
              <w:autoSpaceDE w:val="false"/>
              <w:ind w:start="33" w:end="0"/>
              <w:rPr>
                <w:sz w:val="28"/>
                <w:szCs w:val="28"/>
              </w:rPr>
            </w:pPr>
            <w:r>
              <w:rPr>
                <w:sz w:val="28"/>
                <w:szCs w:val="28"/>
              </w:rPr>
              <w:t>Постановление администрации Вилючинского городского округа от 10.09.2013 № 1286</w:t>
              <w:br/>
              <w:t>«Об утверждении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 xml:space="preserve">Муниципальный заказчик – </w:t>
            </w:r>
          </w:p>
          <w:p>
            <w:pPr>
              <w:pStyle w:val="Normal"/>
              <w:ind w:end="426"/>
              <w:rPr>
                <w:sz w:val="28"/>
                <w:szCs w:val="28"/>
              </w:rPr>
            </w:pPr>
            <w:r>
              <w:rPr>
                <w:sz w:val="28"/>
                <w:szCs w:val="28"/>
              </w:rPr>
              <w:t>координатор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Разработчик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Исполнитель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 xml:space="preserve">Администрация Вилючинского городского округа. </w:t>
            </w:r>
          </w:p>
          <w:p>
            <w:pPr>
              <w:pStyle w:val="Normal"/>
              <w:ind w:start="33" w:end="33"/>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p>
            <w:pPr>
              <w:pStyle w:val="Normal"/>
              <w:ind w:start="33" w:end="0"/>
              <w:rPr>
                <w:sz w:val="28"/>
                <w:szCs w:val="28"/>
              </w:rPr>
            </w:pPr>
            <w:r>
              <w:rPr>
                <w:sz w:val="28"/>
                <w:szCs w:val="28"/>
              </w:rPr>
              <w:t>Управление архитектуры, градостроительства и землеустройства администрации Вилючинского городского округа.</w:t>
            </w:r>
          </w:p>
          <w:p>
            <w:pPr>
              <w:pStyle w:val="Normal"/>
              <w:ind w:start="33" w:end="0"/>
              <w:rPr>
                <w:sz w:val="28"/>
                <w:szCs w:val="28"/>
              </w:rPr>
            </w:pPr>
            <w:r>
              <w:rPr>
                <w:sz w:val="28"/>
                <w:szCs w:val="28"/>
              </w:rPr>
              <w:t>Управление городского хозяйства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Цель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осуществления субъектами малого и среднего предпринимательства (далее – СМСП), а также физическими лицами, применяющими специальный налоговый режим «Налог на профессиональный доход» (далее – самозанятые), предпринимательской деятельности на территории Вилючинского городского округа.</w:t>
            </w:r>
          </w:p>
          <w:p>
            <w:pPr>
              <w:pStyle w:val="Normal"/>
              <w:autoSpaceDE w:val="false"/>
              <w:ind w:start="33" w:end="0"/>
              <w:rPr>
                <w:sz w:val="28"/>
                <w:szCs w:val="28"/>
              </w:rPr>
            </w:pPr>
            <w:r>
              <w:rPr>
                <w:sz w:val="28"/>
                <w:szCs w:val="28"/>
              </w:rPr>
              <w:t>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w:t>
            </w:r>
          </w:p>
          <w:p>
            <w:pPr>
              <w:pStyle w:val="Normal"/>
              <w:ind w:start="33" w:end="426"/>
              <w:rPr>
                <w:sz w:val="28"/>
                <w:szCs w:val="28"/>
              </w:rPr>
            </w:pPr>
            <w:r>
              <w:rPr>
                <w:sz w:val="28"/>
                <w:szCs w:val="28"/>
              </w:rPr>
              <w:t>Создание дополнительных рабочих мест.</w:t>
            </w:r>
          </w:p>
          <w:p>
            <w:pPr>
              <w:pStyle w:val="Normal"/>
              <w:ind w:start="33" w:end="426"/>
              <w:rPr>
                <w:sz w:val="28"/>
                <w:szCs w:val="28"/>
              </w:rPr>
            </w:pPr>
            <w:r>
              <w:rPr>
                <w:sz w:val="28"/>
                <w:szCs w:val="28"/>
              </w:rPr>
              <w:t>Поддержка малого и среднего предпринимательства.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Задачи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Разработка и реализация мер по улучшению условий ведения инвестиционной деятельности.</w:t>
            </w:r>
          </w:p>
          <w:p>
            <w:pPr>
              <w:pStyle w:val="Normal"/>
              <w:tabs>
                <w:tab w:val="clear" w:pos="708"/>
                <w:tab w:val="center" w:pos="-4140" w:leader="none"/>
                <w:tab w:val="center" w:pos="3240" w:leader="none"/>
              </w:tabs>
              <w:ind w:start="33" w:end="0"/>
              <w:rPr>
                <w:sz w:val="28"/>
                <w:szCs w:val="28"/>
              </w:rPr>
            </w:pPr>
            <w:r>
              <w:rPr>
                <w:sz w:val="28"/>
                <w:szCs w:val="28"/>
              </w:rPr>
              <w:t>Формирование механизмов и условий, обеспечивающих повышение инвестиционной привлекательности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Развитие системы муниципальной поддержки инвестиционной деятельности на территории Вилючинского городского округа.</w:t>
            </w:r>
          </w:p>
          <w:p>
            <w:pPr>
              <w:pStyle w:val="Normal"/>
              <w:autoSpaceDE w:val="false"/>
              <w:ind w:start="33" w:end="0"/>
              <w:rPr>
                <w:sz w:val="28"/>
                <w:szCs w:val="28"/>
              </w:rPr>
            </w:pPr>
            <w:r>
              <w:rPr>
                <w:sz w:val="28"/>
                <w:szCs w:val="28"/>
              </w:rPr>
              <w:t>Увеличение доли участия СМСП и самозанятых в общем обороте хозяйствующих субъектов Вилючинского городского округа.</w:t>
            </w:r>
          </w:p>
          <w:p>
            <w:pPr>
              <w:pStyle w:val="Normal"/>
              <w:autoSpaceDE w:val="false"/>
              <w:ind w:start="33" w:end="0"/>
              <w:rPr>
                <w:sz w:val="28"/>
                <w:szCs w:val="28"/>
              </w:rPr>
            </w:pPr>
            <w:r>
              <w:rPr>
                <w:sz w:val="28"/>
                <w:szCs w:val="28"/>
              </w:rPr>
              <w:t>Развитие системы финансовой поддержки СМСП и самозанятых.</w:t>
            </w:r>
          </w:p>
          <w:p>
            <w:pPr>
              <w:pStyle w:val="Normal"/>
              <w:autoSpaceDE w:val="false"/>
              <w:ind w:start="33" w:end="0"/>
              <w:rPr>
                <w:sz w:val="28"/>
                <w:szCs w:val="28"/>
              </w:rPr>
            </w:pPr>
            <w:r>
              <w:rPr>
                <w:sz w:val="28"/>
                <w:szCs w:val="28"/>
              </w:rPr>
              <w:t>Формирование эффективной информационной системы для СМСП и самозанятых.</w:t>
            </w:r>
          </w:p>
          <w:p>
            <w:pPr>
              <w:pStyle w:val="Normal"/>
              <w:ind w:start="33" w:end="0"/>
              <w:rPr>
                <w:sz w:val="28"/>
                <w:szCs w:val="28"/>
              </w:rPr>
            </w:pPr>
            <w:r>
              <w:rPr>
                <w:sz w:val="28"/>
                <w:szCs w:val="28"/>
              </w:rPr>
              <w:t>Совершенствование правовой поддержки СМСП и самозанятых.</w:t>
            </w:r>
          </w:p>
          <w:p>
            <w:pPr>
              <w:pStyle w:val="Normal"/>
              <w:ind w:start="33" w:end="426"/>
              <w:rPr>
                <w:sz w:val="28"/>
                <w:szCs w:val="28"/>
              </w:rPr>
            </w:pPr>
            <w:r>
              <w:rPr>
                <w:sz w:val="28"/>
                <w:szCs w:val="28"/>
              </w:rPr>
              <w:t>Популяризация предпринимательства.</w:t>
            </w:r>
          </w:p>
          <w:p>
            <w:pPr>
              <w:pStyle w:val="Normal"/>
              <w:ind w:start="33" w:end="426"/>
              <w:rPr>
                <w:sz w:val="28"/>
                <w:szCs w:val="28"/>
              </w:rPr>
            </w:pPr>
            <w:r>
              <w:rPr>
                <w:sz w:val="28"/>
                <w:szCs w:val="28"/>
              </w:rPr>
              <w:t>Развитие хлебопекарного производства.</w:t>
            </w:r>
          </w:p>
          <w:p>
            <w:pPr>
              <w:pStyle w:val="Normal"/>
              <w:ind w:start="33" w:end="426"/>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426"/>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 xml:space="preserve">Перечень основных мероприятий Программы </w:t>
            </w:r>
          </w:p>
          <w:p>
            <w:pPr>
              <w:pStyle w:val="Normal"/>
              <w:ind w:end="426"/>
              <w:jc w:val="both"/>
              <w:rPr>
                <w:sz w:val="28"/>
                <w:szCs w:val="28"/>
              </w:rPr>
            </w:pPr>
            <w:r>
              <w:rPr>
                <w:sz w:val="28"/>
                <w:szCs w:val="28"/>
              </w:rPr>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Создание благоприятных условий для привлечения инвестиций в экономику Вилючинского городского округа.</w:t>
            </w:r>
          </w:p>
          <w:p>
            <w:pPr>
              <w:pStyle w:val="Normal"/>
              <w:ind w:start="33" w:end="426"/>
              <w:rPr>
                <w:sz w:val="28"/>
                <w:szCs w:val="28"/>
              </w:rPr>
            </w:pPr>
            <w:r>
              <w:rPr>
                <w:sz w:val="28"/>
                <w:szCs w:val="28"/>
              </w:rPr>
              <w:t>Развитие инвестиционной деятельности на территории Вилючинского городского округа.</w:t>
            </w:r>
          </w:p>
          <w:p>
            <w:pPr>
              <w:pStyle w:val="Normal"/>
              <w:ind w:start="33" w:end="426"/>
              <w:rPr>
                <w:sz w:val="28"/>
                <w:szCs w:val="28"/>
              </w:rPr>
            </w:pPr>
            <w:r>
              <w:rPr>
                <w:sz w:val="28"/>
                <w:szCs w:val="28"/>
              </w:rPr>
              <w:t>Информационная и консультационная поддержка СМСП и самозанятых.</w:t>
            </w:r>
          </w:p>
          <w:p>
            <w:pPr>
              <w:pStyle w:val="Normal"/>
              <w:ind w:start="33" w:end="426"/>
              <w:rPr>
                <w:sz w:val="28"/>
                <w:szCs w:val="28"/>
              </w:rPr>
            </w:pPr>
            <w:r>
              <w:rPr>
                <w:sz w:val="28"/>
                <w:szCs w:val="28"/>
              </w:rPr>
              <w:t>Финансовая поддержка деятельности СМСП и самозанятых.</w:t>
            </w:r>
          </w:p>
          <w:p>
            <w:pPr>
              <w:pStyle w:val="Normal"/>
              <w:ind w:start="33" w:end="426"/>
              <w:rPr>
                <w:sz w:val="28"/>
                <w:szCs w:val="28"/>
              </w:rPr>
            </w:pPr>
            <w:r>
              <w:rPr>
                <w:sz w:val="28"/>
                <w:szCs w:val="28"/>
              </w:rPr>
              <w:t>Создание общественной (социальной) среды, благоприятной для развития бизнеса.</w:t>
            </w:r>
          </w:p>
          <w:p>
            <w:pPr>
              <w:pStyle w:val="Normal"/>
              <w:ind w:start="33" w:end="426"/>
              <w:rPr>
                <w:sz w:val="28"/>
                <w:szCs w:val="28"/>
              </w:rPr>
            </w:pPr>
            <w:r>
              <w:rPr>
                <w:sz w:val="28"/>
                <w:szCs w:val="28"/>
              </w:rPr>
              <w:t>Правовое, организационное и аналитическое обеспечение деятельности СМСП и самозанятых .</w:t>
            </w:r>
          </w:p>
          <w:p>
            <w:pPr>
              <w:pStyle w:val="Normal"/>
              <w:ind w:start="33" w:end="426"/>
              <w:rPr>
                <w:sz w:val="28"/>
                <w:szCs w:val="28"/>
              </w:rPr>
            </w:pPr>
            <w:r>
              <w:rPr>
                <w:sz w:val="28"/>
                <w:szCs w:val="28"/>
              </w:rPr>
              <w:t>Развитие хлебопекарного производства на территории Вилючинского городского округа.</w:t>
            </w:r>
          </w:p>
          <w:p>
            <w:pPr>
              <w:pStyle w:val="Normal"/>
              <w:ind w:start="33" w:end="426"/>
              <w:rPr>
                <w:sz w:val="28"/>
                <w:szCs w:val="28"/>
              </w:rPr>
            </w:pPr>
            <w:r>
              <w:rPr>
                <w:sz w:val="28"/>
                <w:szCs w:val="28"/>
              </w:rPr>
              <w:t>Удовлетворенность потребности населения в продукции местных товаропроизводителей.</w:t>
            </w:r>
          </w:p>
          <w:p>
            <w:pPr>
              <w:pStyle w:val="Normal"/>
              <w:ind w:start="33" w:end="426"/>
              <w:jc w:val="both"/>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426"/>
              <w:jc w:val="both"/>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Сроки и этапы реализации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snapToGrid w:val="false"/>
              <w:ind w:end="426"/>
              <w:jc w:val="both"/>
              <w:rPr>
                <w:sz w:val="28"/>
                <w:szCs w:val="28"/>
              </w:rPr>
            </w:pPr>
            <w:r>
              <w:rPr>
                <w:sz w:val="28"/>
                <w:szCs w:val="28"/>
              </w:rPr>
            </w:r>
          </w:p>
          <w:p>
            <w:pPr>
              <w:pStyle w:val="Normal"/>
              <w:ind w:start="33" w:end="426"/>
              <w:jc w:val="both"/>
              <w:rPr>
                <w:sz w:val="16"/>
                <w:szCs w:val="28"/>
              </w:rPr>
            </w:pPr>
            <w:r>
              <w:rPr>
                <w:sz w:val="28"/>
                <w:szCs w:val="28"/>
              </w:rPr>
              <w:t>2018 – 2029 годы.</w:t>
            </w:r>
          </w:p>
          <w:p>
            <w:pPr>
              <w:pStyle w:val="Normal"/>
              <w:ind w:end="426"/>
              <w:jc w:val="both"/>
              <w:rPr>
                <w:sz w:val="16"/>
                <w:szCs w:val="28"/>
              </w:rPr>
            </w:pPr>
            <w:r>
              <w:rPr>
                <w:sz w:val="16"/>
                <w:szCs w:val="28"/>
              </w:rPr>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Объемы и источники финансирования Программы в разрезе источников финансирования</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jc w:val="both"/>
              <w:rPr>
                <w:sz w:val="28"/>
                <w:szCs w:val="28"/>
              </w:rPr>
            </w:pPr>
            <w:r>
              <w:rPr>
                <w:sz w:val="28"/>
                <w:szCs w:val="28"/>
              </w:rPr>
              <w:t xml:space="preserve">Общий объем финансирования Программы на 2018 – 2029 годы составляет – </w:t>
            </w:r>
          </w:p>
          <w:p>
            <w:pPr>
              <w:pStyle w:val="Normal"/>
              <w:ind w:start="33" w:end="426"/>
              <w:jc w:val="both"/>
              <w:rPr>
                <w:sz w:val="28"/>
                <w:szCs w:val="28"/>
              </w:rPr>
            </w:pPr>
            <w:r>
              <w:rPr>
                <w:sz w:val="28"/>
                <w:szCs w:val="28"/>
              </w:rPr>
              <w:t>3 521,01000 тыс. руб., из них по годам:</w:t>
            </w:r>
          </w:p>
          <w:p>
            <w:pPr>
              <w:pStyle w:val="Normal"/>
              <w:tabs>
                <w:tab w:val="clear" w:pos="708"/>
                <w:tab w:val="center" w:pos="-4140" w:leader="none"/>
              </w:tabs>
              <w:ind w:start="33" w:end="0"/>
              <w:rPr>
                <w:sz w:val="28"/>
                <w:szCs w:val="28"/>
              </w:rPr>
            </w:pPr>
            <w:r>
              <w:rPr>
                <w:sz w:val="28"/>
                <w:szCs w:val="28"/>
              </w:rPr>
              <w:t>2018 год – 473,33400 тыс. руб.;</w:t>
            </w:r>
          </w:p>
          <w:p>
            <w:pPr>
              <w:pStyle w:val="Normal"/>
              <w:tabs>
                <w:tab w:val="clear" w:pos="708"/>
                <w:tab w:val="center" w:pos="-4140" w:leader="none"/>
              </w:tabs>
              <w:ind w:start="33" w:end="0"/>
              <w:rPr>
                <w:sz w:val="28"/>
                <w:szCs w:val="28"/>
              </w:rPr>
            </w:pPr>
            <w:r>
              <w:rPr>
                <w:sz w:val="28"/>
                <w:szCs w:val="28"/>
              </w:rPr>
              <w:t>2019 год – 550,00000 тыс. руб.;</w:t>
            </w:r>
          </w:p>
          <w:p>
            <w:pPr>
              <w:pStyle w:val="Normal"/>
              <w:tabs>
                <w:tab w:val="clear" w:pos="708"/>
                <w:tab w:val="center" w:pos="-4140" w:leader="none"/>
              </w:tabs>
              <w:ind w:start="33" w:end="0"/>
              <w:rPr>
                <w:sz w:val="28"/>
                <w:szCs w:val="28"/>
              </w:rPr>
            </w:pPr>
            <w:r>
              <w:rPr>
                <w:sz w:val="28"/>
                <w:szCs w:val="28"/>
              </w:rPr>
              <w:t>2020 год – 256,45000 тыс. руб.;</w:t>
            </w:r>
          </w:p>
          <w:p>
            <w:pPr>
              <w:pStyle w:val="Normal"/>
              <w:tabs>
                <w:tab w:val="clear" w:pos="708"/>
                <w:tab w:val="center" w:pos="-4140" w:leader="none"/>
              </w:tabs>
              <w:ind w:start="33" w:end="0"/>
              <w:rPr>
                <w:sz w:val="28"/>
                <w:szCs w:val="28"/>
              </w:rPr>
            </w:pPr>
            <w:r>
              <w:rPr>
                <w:sz w:val="28"/>
                <w:szCs w:val="28"/>
              </w:rPr>
              <w:t>2021 год – 275,34700 тыс. руб.;</w:t>
            </w:r>
          </w:p>
          <w:p>
            <w:pPr>
              <w:pStyle w:val="Normal"/>
              <w:tabs>
                <w:tab w:val="clear" w:pos="708"/>
                <w:tab w:val="center" w:pos="-4140" w:leader="none"/>
              </w:tabs>
              <w:ind w:start="33" w:end="0"/>
              <w:rPr>
                <w:sz w:val="28"/>
                <w:szCs w:val="28"/>
              </w:rPr>
            </w:pPr>
            <w:r>
              <w:rPr>
                <w:sz w:val="28"/>
                <w:szCs w:val="28"/>
              </w:rPr>
              <w:t>2022 год – 1 193,08700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500,0000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 xml:space="preserve">краевого бюджета – 1 542,84100 тыс. руб., </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300,00000 тыс. руб.;</w:t>
            </w:r>
          </w:p>
          <w:p>
            <w:pPr>
              <w:pStyle w:val="Normal"/>
              <w:tabs>
                <w:tab w:val="clear" w:pos="708"/>
                <w:tab w:val="center" w:pos="-4140" w:leader="none"/>
              </w:tabs>
              <w:ind w:start="33" w:end="0"/>
              <w:rPr>
                <w:sz w:val="28"/>
                <w:szCs w:val="28"/>
              </w:rPr>
            </w:pPr>
            <w:r>
              <w:rPr>
                <w:sz w:val="28"/>
                <w:szCs w:val="28"/>
              </w:rPr>
              <w:t>2019 год – 150,00000 тыс. руб.;</w:t>
            </w:r>
          </w:p>
          <w:p>
            <w:pPr>
              <w:pStyle w:val="Normal"/>
              <w:tabs>
                <w:tab w:val="clear" w:pos="708"/>
                <w:tab w:val="center" w:pos="-4140" w:leader="none"/>
              </w:tabs>
              <w:ind w:start="33" w:end="0"/>
              <w:rPr>
                <w:sz w:val="28"/>
                <w:szCs w:val="28"/>
              </w:rPr>
            </w:pPr>
            <w:r>
              <w:rPr>
                <w:sz w:val="28"/>
                <w:szCs w:val="28"/>
              </w:rPr>
              <w:t>2020 год – 64,42000 тыс. руб.;</w:t>
            </w:r>
          </w:p>
          <w:p>
            <w:pPr>
              <w:pStyle w:val="Normal"/>
              <w:ind w:start="33" w:end="426"/>
              <w:jc w:val="both"/>
              <w:rPr>
                <w:sz w:val="28"/>
                <w:szCs w:val="28"/>
              </w:rPr>
            </w:pPr>
            <w:r>
              <w:rPr>
                <w:sz w:val="28"/>
                <w:szCs w:val="28"/>
              </w:rPr>
              <w:t>2021 год – 181,80000 тыс. руб.;</w:t>
            </w:r>
          </w:p>
          <w:p>
            <w:pPr>
              <w:pStyle w:val="Normal"/>
              <w:ind w:start="33" w:end="426"/>
              <w:jc w:val="both"/>
              <w:rPr>
                <w:sz w:val="28"/>
                <w:szCs w:val="28"/>
              </w:rPr>
            </w:pPr>
            <w:r>
              <w:rPr>
                <w:sz w:val="28"/>
                <w:szCs w:val="28"/>
              </w:rPr>
              <w:t>2022 год – 846,62100 тыс. руб.;</w:t>
            </w:r>
          </w:p>
          <w:p>
            <w:pPr>
              <w:pStyle w:val="Normal"/>
              <w:ind w:start="33" w:end="426"/>
              <w:jc w:val="both"/>
              <w:rPr>
                <w:sz w:val="28"/>
                <w:szCs w:val="28"/>
              </w:rPr>
            </w:pPr>
            <w:r>
              <w:rPr>
                <w:sz w:val="28"/>
                <w:szCs w:val="28"/>
              </w:rPr>
              <w:t>2023 год – 0,00000 тыс. руб.;</w:t>
            </w:r>
          </w:p>
          <w:p>
            <w:pPr>
              <w:pStyle w:val="Normal"/>
              <w:ind w:start="33" w:end="426"/>
              <w:jc w:val="both"/>
              <w:rPr>
                <w:sz w:val="28"/>
                <w:szCs w:val="28"/>
              </w:rPr>
            </w:pPr>
            <w:r>
              <w:rPr>
                <w:sz w:val="28"/>
                <w:szCs w:val="28"/>
              </w:rPr>
              <w:t>2024 год – 0,00000 тыс. руб.;</w:t>
            </w:r>
          </w:p>
          <w:p>
            <w:pPr>
              <w:pStyle w:val="Normal"/>
              <w:ind w:start="33" w:end="426"/>
              <w:jc w:val="both"/>
              <w:rPr>
                <w:sz w:val="28"/>
                <w:szCs w:val="28"/>
              </w:rPr>
            </w:pPr>
            <w:r>
              <w:rPr>
                <w:sz w:val="28"/>
                <w:szCs w:val="28"/>
              </w:rPr>
              <w:t>2025 год – 0,00000 тыс. руб.;</w:t>
            </w:r>
          </w:p>
          <w:p>
            <w:pPr>
              <w:pStyle w:val="Normal"/>
              <w:ind w:start="33" w:end="426"/>
              <w:jc w:val="both"/>
              <w:rPr>
                <w:sz w:val="28"/>
                <w:szCs w:val="28"/>
              </w:rPr>
            </w:pPr>
            <w:r>
              <w:rPr>
                <w:sz w:val="28"/>
                <w:szCs w:val="28"/>
              </w:rPr>
              <w:t>2026 год – 0,00000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 xml:space="preserve">местного бюджета – 1 978,16900 тыс. руб., </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173,33400 тыс. руб.;</w:t>
            </w:r>
          </w:p>
          <w:p>
            <w:pPr>
              <w:pStyle w:val="Normal"/>
              <w:tabs>
                <w:tab w:val="clear" w:pos="708"/>
                <w:tab w:val="center" w:pos="-4140" w:leader="none"/>
              </w:tabs>
              <w:ind w:start="33" w:end="0"/>
              <w:rPr>
                <w:sz w:val="28"/>
                <w:szCs w:val="28"/>
              </w:rPr>
            </w:pPr>
            <w:r>
              <w:rPr>
                <w:sz w:val="28"/>
                <w:szCs w:val="28"/>
              </w:rPr>
              <w:t>2019 год – 400,00000 тыс. руб.;</w:t>
            </w:r>
          </w:p>
          <w:p>
            <w:pPr>
              <w:pStyle w:val="Normal"/>
              <w:tabs>
                <w:tab w:val="clear" w:pos="708"/>
                <w:tab w:val="center" w:pos="-4140" w:leader="none"/>
              </w:tabs>
              <w:ind w:start="33" w:end="0"/>
              <w:rPr>
                <w:sz w:val="28"/>
                <w:szCs w:val="28"/>
              </w:rPr>
            </w:pPr>
            <w:r>
              <w:rPr>
                <w:sz w:val="28"/>
                <w:szCs w:val="28"/>
              </w:rPr>
              <w:t>2020 год – 192,03000 тыс. руб.;</w:t>
            </w:r>
          </w:p>
          <w:p>
            <w:pPr>
              <w:pStyle w:val="Normal"/>
              <w:ind w:start="33" w:end="426"/>
              <w:jc w:val="both"/>
              <w:rPr>
                <w:sz w:val="28"/>
                <w:szCs w:val="28"/>
              </w:rPr>
            </w:pPr>
            <w:r>
              <w:rPr>
                <w:sz w:val="28"/>
                <w:szCs w:val="28"/>
              </w:rPr>
              <w:t>2021 год – 93,54700 тыс. руб.;</w:t>
            </w:r>
          </w:p>
          <w:p>
            <w:pPr>
              <w:pStyle w:val="Normal"/>
              <w:ind w:start="33" w:end="426"/>
              <w:jc w:val="both"/>
              <w:rPr>
                <w:sz w:val="28"/>
                <w:szCs w:val="28"/>
              </w:rPr>
            </w:pPr>
            <w:r>
              <w:rPr>
                <w:sz w:val="28"/>
                <w:szCs w:val="28"/>
              </w:rPr>
              <w:t>2022 год – 346,46600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2028 год – 500,0000 тыс. руб.</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Прогноз ожидаемых результатов реализации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Улучшение инвестиционного имиджа Вилючинского городского округа.</w:t>
            </w:r>
          </w:p>
          <w:p>
            <w:pPr>
              <w:pStyle w:val="Normal"/>
              <w:ind w:start="33" w:end="0"/>
              <w:rPr>
                <w:sz w:val="28"/>
                <w:szCs w:val="28"/>
              </w:rPr>
            </w:pPr>
            <w:r>
              <w:rPr>
                <w:sz w:val="28"/>
                <w:szCs w:val="28"/>
              </w:rPr>
              <w:t>Привлечение инвестиций в экономику Вилючинского городского округа.</w:t>
            </w:r>
          </w:p>
          <w:p>
            <w:pPr>
              <w:pStyle w:val="Normal"/>
              <w:ind w:start="33" w:end="0"/>
              <w:rPr>
                <w:sz w:val="28"/>
                <w:szCs w:val="28"/>
              </w:rPr>
            </w:pPr>
            <w:r>
              <w:rPr>
                <w:sz w:val="28"/>
                <w:szCs w:val="28"/>
              </w:rPr>
              <w:t>Рост количества зарегистрированных СМСП и самозанятых.</w:t>
            </w:r>
          </w:p>
          <w:p>
            <w:pPr>
              <w:pStyle w:val="Normal"/>
              <w:widowControl w:val="false"/>
              <w:autoSpaceDE w:val="false"/>
              <w:ind w:start="33" w:end="426"/>
              <w:rPr>
                <w:sz w:val="28"/>
                <w:szCs w:val="28"/>
              </w:rPr>
            </w:pPr>
            <w:r>
              <w:rPr>
                <w:sz w:val="28"/>
                <w:szCs w:val="28"/>
              </w:rPr>
              <w:t xml:space="preserve">Увеличение поступлений в бюджет Вилючинского городского округа налогов от предпринимательской деятельности.  </w:t>
            </w:r>
          </w:p>
          <w:p>
            <w:pPr>
              <w:pStyle w:val="Normal"/>
              <w:widowControl w:val="false"/>
              <w:autoSpaceDE w:val="false"/>
              <w:ind w:start="33" w:end="426"/>
              <w:jc w:val="both"/>
              <w:rPr>
                <w:sz w:val="28"/>
                <w:szCs w:val="28"/>
              </w:rPr>
            </w:pPr>
            <w:r>
              <w:rPr>
                <w:sz w:val="28"/>
                <w:szCs w:val="28"/>
              </w:rPr>
              <w:t>Социальный эффект реализации Программы  заключается в сохранении уже созданных рабочих мест и создании новых рабочих мест, включении экономически активного населения из различных слоев общества в процесс предпринимательской деятельности, и, как результат, улучшение качества жизни населения.</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Система организации контроля за исполнением Программы</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Общее руководство и контроль за исполнением Программы осуществляет муниципальный заказчик – координатор Программы – 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 Обеспечивает реализацию Программы в целом, проведение оценки эффективности ее реализации, обеспечивает выполнение программных мероприятий, эффективное использование финансовых средств.</w:t>
            </w:r>
          </w:p>
        </w:tc>
      </w:tr>
    </w:tbl>
    <w:p>
      <w:pPr>
        <w:pStyle w:val="Normal"/>
        <w:numPr>
          <w:ilvl w:val="0"/>
          <w:numId w:val="0"/>
        </w:numPr>
        <w:ind w:hanging="0" w:start="1080" w:end="426"/>
        <w:jc w:val="center"/>
        <w:rPr>
          <w:b/>
          <w:sz w:val="28"/>
          <w:szCs w:val="28"/>
        </w:rPr>
      </w:pPr>
      <w:r>
        <w:rPr>
          <w:b/>
          <w:sz w:val="28"/>
          <w:szCs w:val="28"/>
        </w:rPr>
      </w:r>
    </w:p>
    <w:p>
      <w:pPr>
        <w:pStyle w:val="Normal"/>
        <w:numPr>
          <w:ilvl w:val="0"/>
          <w:numId w:val="4"/>
        </w:numPr>
        <w:ind w:hanging="0" w:start="0" w:end="426"/>
        <w:jc w:val="center"/>
        <w:rPr>
          <w:sz w:val="28"/>
          <w:szCs w:val="28"/>
        </w:rPr>
      </w:pPr>
      <w:r>
        <w:rPr>
          <w:b/>
          <w:sz w:val="28"/>
          <w:szCs w:val="28"/>
        </w:rPr>
        <w:t>Технико-экономическое обоснование Программы</w:t>
      </w:r>
    </w:p>
    <w:p>
      <w:pPr>
        <w:pStyle w:val="Normal"/>
        <w:widowControl w:val="false"/>
        <w:autoSpaceDE w:val="false"/>
        <w:ind w:firstLine="720" w:end="0"/>
        <w:jc w:val="both"/>
        <w:rPr>
          <w:sz w:val="28"/>
          <w:szCs w:val="28"/>
        </w:rPr>
      </w:pPr>
      <w:r>
        <w:rPr>
          <w:sz w:val="28"/>
          <w:szCs w:val="28"/>
        </w:rPr>
        <w:t>Одним из главных факторов роста объемов производства в рыночных условиях и основой социально-экономического развития являются инвестиции.</w:t>
      </w:r>
    </w:p>
    <w:p>
      <w:pPr>
        <w:pStyle w:val="Normal"/>
        <w:widowControl w:val="false"/>
        <w:autoSpaceDE w:val="false"/>
        <w:ind w:firstLine="720" w:end="0"/>
        <w:jc w:val="both"/>
        <w:rPr>
          <w:sz w:val="28"/>
          <w:szCs w:val="28"/>
        </w:rPr>
      </w:pPr>
      <w:r>
        <w:rPr>
          <w:sz w:val="28"/>
          <w:szCs w:val="28"/>
        </w:rPr>
        <w:t>Успешное решение задач обеспечения устойчивого и сбалансированного экономического роста территории и повышения ее конкурентоспособности в значительной степени зависит от формирования и реализации стимулирующей политики привлечения инвестиционных вложений.</w:t>
      </w:r>
    </w:p>
    <w:p>
      <w:pPr>
        <w:pStyle w:val="Normal"/>
        <w:widowControl w:val="false"/>
        <w:autoSpaceDE w:val="false"/>
        <w:ind w:firstLine="720" w:end="0"/>
        <w:jc w:val="both"/>
        <w:rPr>
          <w:sz w:val="28"/>
          <w:szCs w:val="28"/>
        </w:rPr>
      </w:pPr>
      <w:r>
        <w:rPr>
          <w:sz w:val="28"/>
          <w:szCs w:val="28"/>
        </w:rPr>
        <w:t>Работа по привлечению инвестиций должна носить системный характер и осуществляться программными методами.</w:t>
      </w:r>
    </w:p>
    <w:p>
      <w:pPr>
        <w:pStyle w:val="Normal"/>
        <w:widowControl w:val="false"/>
        <w:autoSpaceDE w:val="false"/>
        <w:ind w:firstLine="720" w:end="0"/>
        <w:jc w:val="both"/>
        <w:rPr>
          <w:sz w:val="28"/>
          <w:szCs w:val="28"/>
        </w:rPr>
      </w:pPr>
      <w:r>
        <w:rPr>
          <w:sz w:val="28"/>
          <w:szCs w:val="28"/>
        </w:rPr>
        <w:t>Привлечение инвестиций в экономику Вилючинского городского округа, формирование благоприятного инвестиционного климата в целях повышения инвестиционной привлекательности и стимулирования инвестиционной активности на территории Вилючинского городского округа являются необходимыми условиями успешного развития территории, особенно в современных экономических условиях.</w:t>
      </w:r>
    </w:p>
    <w:p>
      <w:pPr>
        <w:pStyle w:val="Normal"/>
        <w:widowControl w:val="false"/>
        <w:autoSpaceDE w:val="false"/>
        <w:ind w:firstLine="720" w:end="0"/>
        <w:jc w:val="both"/>
        <w:rPr>
          <w:sz w:val="28"/>
          <w:szCs w:val="28"/>
        </w:rPr>
      </w:pPr>
      <w:r>
        <w:rPr>
          <w:sz w:val="28"/>
          <w:szCs w:val="28"/>
        </w:rPr>
        <w:t>В целях формирования благоприятной административной среды на постоянной основе ведется разработка и принятие нормативных правовых актов в сфере инвестиционной деятельности и формирования благоприятного инвестиционного климата, которые определяют основные положения инвестиционной деятельности, формы и меры муниципальной поддержки, порядок сопровождения инвестиционных проектов, что позволяет оперативно решать вопросы, связанные с их реализацией.</w:t>
      </w:r>
    </w:p>
    <w:p>
      <w:pPr>
        <w:pStyle w:val="Normal"/>
        <w:widowControl w:val="false"/>
        <w:autoSpaceDE w:val="false"/>
        <w:ind w:firstLine="720" w:end="0"/>
        <w:jc w:val="both"/>
        <w:rPr>
          <w:sz w:val="28"/>
          <w:szCs w:val="28"/>
        </w:rPr>
      </w:pPr>
      <w:r>
        <w:rPr>
          <w:sz w:val="28"/>
          <w:szCs w:val="28"/>
        </w:rPr>
        <w:t>Активная инвестиционная деятельность, осуществляемая органами местного самоуправления Вилючинского городского округа и направленная на эффективное использование имеющегося потенциала, будет способствовать привлечению инвестиций в экономику Вилючинского городского округа, возможному созданию новых производств и обеспечению роста объемов налоговых поступлений. Основным результатом этой деятельности станет создание базовых условий для развития инвестиционного потенциала и экономического роста региона.</w:t>
      </w:r>
    </w:p>
    <w:p>
      <w:pPr>
        <w:pStyle w:val="Normal"/>
        <w:autoSpaceDE w:val="false"/>
        <w:ind w:firstLine="720" w:end="0"/>
        <w:jc w:val="both"/>
        <w:rPr>
          <w:sz w:val="28"/>
          <w:szCs w:val="28"/>
        </w:rPr>
      </w:pPr>
      <w:r>
        <w:rPr>
          <w:sz w:val="28"/>
          <w:szCs w:val="28"/>
        </w:rPr>
        <w:t xml:space="preserve">Развитие малого и среднего предпринимательства, активизация предпринимательской деятельности – являются одними из необходимых условий стабилизации экономического роста в Вилючинском городском округе. </w:t>
      </w:r>
    </w:p>
    <w:p>
      <w:pPr>
        <w:pStyle w:val="Normal"/>
        <w:autoSpaceDE w:val="false"/>
        <w:ind w:firstLine="720" w:end="0"/>
        <w:jc w:val="both"/>
        <w:rPr>
          <w:sz w:val="28"/>
          <w:szCs w:val="28"/>
        </w:rPr>
      </w:pPr>
      <w:r>
        <w:rPr>
          <w:sz w:val="28"/>
          <w:szCs w:val="28"/>
        </w:rPr>
        <w:t>Специфика деятельности малого и среднего предпринимательства в условиях закрытого административно-территориального образования (далее – ЗАТО) проявляется в более низких темпах развития, как по экономическим параметрам, так и по показателям занятости, что объясняется в первую очередь особым режимом функционирования ЗАТО.</w:t>
      </w:r>
    </w:p>
    <w:p>
      <w:pPr>
        <w:pStyle w:val="Normal"/>
        <w:autoSpaceDE w:val="false"/>
        <w:ind w:firstLine="720" w:end="0"/>
        <w:jc w:val="both"/>
        <w:rPr>
          <w:sz w:val="28"/>
          <w:szCs w:val="28"/>
        </w:rPr>
      </w:pPr>
      <w:r>
        <w:rPr>
          <w:sz w:val="28"/>
          <w:szCs w:val="28"/>
        </w:rPr>
        <w:t xml:space="preserve">С учетом уровня развития малого и среднего предпринимательства в производственной и социальной сферах, сфере оптовой и розничной торговли, а также бытового обслуживания населения приоритетными сферами развития малого и среднего предпринимательства в рамках Программы являются: производственная сфера, социально значимые отрасли (образование, здравоохранение, физическая культура, спорт), общественное питание, предоставление бытовых услуг населению. </w:t>
      </w:r>
    </w:p>
    <w:p>
      <w:pPr>
        <w:pStyle w:val="Normal"/>
        <w:ind w:firstLine="720" w:end="-1"/>
        <w:jc w:val="both"/>
        <w:rPr>
          <w:sz w:val="28"/>
          <w:szCs w:val="28"/>
        </w:rPr>
      </w:pPr>
      <w:r>
        <w:rPr>
          <w:sz w:val="28"/>
          <w:szCs w:val="28"/>
        </w:rPr>
        <w:t xml:space="preserve">Проблемы решаются совместными усилиями СМСП и органов власти всех уровней. Для этих целей администрацией Вилючинского городского округа осуществляется деятельность по поддержке предпринимательства с использованием предусмотренных законодательством форм, методов, инструментов, механизмов поддержки, и в первую очередь – путем реализации муниципальных программ, формирование и осуществление которых в соответствии со </w:t>
      </w:r>
      <w:hyperlink r:id="rId2">
        <w:r>
          <w:rPr>
            <w:rStyle w:val="Hyperlink"/>
            <w:color w:val="000000"/>
            <w:sz w:val="28"/>
            <w:szCs w:val="28"/>
            <w:u w:val="none"/>
          </w:rPr>
          <w:t>статьей 11</w:t>
        </w:r>
      </w:hyperlink>
      <w:r>
        <w:rPr>
          <w:sz w:val="28"/>
          <w:szCs w:val="28"/>
        </w:rPr>
        <w:t xml:space="preserve"> Федерального закона от 24.07.2007 № 209-ФЗ </w:t>
        <w:br/>
        <w:t>«О развитии малого и среднего предпринимательства в Российской Федерации» относится к полномочиям органов местного самоуправления по вопросам развития малого и среднего предпринимательства. В рамках Программы осуществляется координация и взаимное согласование мероприятий, реализуемых по различным направлениям деятельности.</w:t>
      </w:r>
    </w:p>
    <w:p>
      <w:pPr>
        <w:pStyle w:val="Normal"/>
        <w:ind w:firstLine="720" w:end="-1"/>
        <w:jc w:val="both"/>
        <w:rPr>
          <w:b/>
          <w:sz w:val="28"/>
          <w:szCs w:val="28"/>
        </w:rPr>
      </w:pPr>
      <w:r>
        <w:rPr>
          <w:sz w:val="28"/>
          <w:szCs w:val="28"/>
        </w:rPr>
        <w:t xml:space="preserve">При этом в силу статьи 14¹ Федерального закона от 24.07.2007 № 209-ФЗ «О развитии малого и среднего предпринимательства в Российской Федерации», самозанятые, вправе обратиться в порядке и на условиях, которые установлены статьей 14 указанного Федерального закона за оказанием поддержки в </w:t>
      </w:r>
      <w:r>
        <w:rPr>
          <w:color w:val="000000"/>
          <w:sz w:val="30"/>
          <w:szCs w:val="30"/>
          <w:shd w:fill="FFFFFF" w:val="clear"/>
        </w:rPr>
        <w:t>органы местного самоуправления, оказывающие поддержку СМСП.</w:t>
      </w:r>
    </w:p>
    <w:p>
      <w:pPr>
        <w:pStyle w:val="Normal"/>
        <w:ind w:end="426"/>
        <w:jc w:val="center"/>
        <w:rPr>
          <w:b/>
          <w:sz w:val="28"/>
          <w:szCs w:val="28"/>
        </w:rPr>
      </w:pPr>
      <w:r>
        <w:rPr>
          <w:b/>
          <w:sz w:val="28"/>
          <w:szCs w:val="28"/>
        </w:rPr>
      </w:r>
    </w:p>
    <w:p>
      <w:pPr>
        <w:pStyle w:val="Normal"/>
        <w:widowControl/>
        <w:suppressAutoHyphens w:val="true"/>
        <w:kinsoku w:val="true"/>
        <w:overflowPunct w:val="true"/>
        <w:autoSpaceDE w:val="true"/>
        <w:bidi w:val="0"/>
        <w:ind w:end="0"/>
        <w:jc w:val="center"/>
        <w:rPr>
          <w:sz w:val="28"/>
          <w:szCs w:val="28"/>
        </w:rPr>
      </w:pPr>
      <w:r>
        <w:rPr>
          <w:b/>
          <w:sz w:val="28"/>
          <w:szCs w:val="28"/>
        </w:rPr>
        <w:t>2. Основные цели, задачи и основные мероприятия Программы</w:t>
      </w:r>
    </w:p>
    <w:p>
      <w:pPr>
        <w:pStyle w:val="Normal"/>
        <w:widowControl w:val="false"/>
        <w:autoSpaceDE w:val="false"/>
        <w:ind w:firstLine="720" w:end="0"/>
        <w:jc w:val="both"/>
        <w:rPr>
          <w:sz w:val="28"/>
          <w:szCs w:val="28"/>
        </w:rPr>
      </w:pPr>
      <w:r>
        <w:rPr>
          <w:sz w:val="28"/>
          <w:szCs w:val="28"/>
        </w:rPr>
        <w:t>Цель – 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 Создание благоприятных условий для осуществления СМСП, а также самозанятыми, предпринимательской деятельности на территории Вилючинского городского округа. 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 Создание дополнительных рабочих мест. Поддержка малого и среднего предпринимательства.</w:t>
      </w:r>
    </w:p>
    <w:p>
      <w:pPr>
        <w:pStyle w:val="Normal"/>
        <w:widowControl w:val="false"/>
        <w:autoSpaceDE w:val="false"/>
        <w:ind w:firstLine="720" w:end="0"/>
        <w:jc w:val="both"/>
        <w:rPr>
          <w:sz w:val="28"/>
          <w:szCs w:val="28"/>
        </w:rPr>
      </w:pPr>
      <w:r>
        <w:rPr>
          <w:sz w:val="28"/>
          <w:szCs w:val="28"/>
        </w:rPr>
        <w:t>Для достижения цели необходимо решение следующих основных задач:</w:t>
      </w:r>
    </w:p>
    <w:p>
      <w:pPr>
        <w:pStyle w:val="Normal"/>
        <w:widowControl w:val="false"/>
        <w:autoSpaceDE w:val="false"/>
        <w:ind w:firstLine="720" w:end="0"/>
        <w:jc w:val="both"/>
        <w:rPr>
          <w:sz w:val="28"/>
          <w:szCs w:val="28"/>
        </w:rPr>
      </w:pPr>
      <w:r>
        <w:rPr>
          <w:sz w:val="28"/>
          <w:szCs w:val="28"/>
        </w:rPr>
        <w:t>1) разработка и реализация мер по улучшению условий ведения инвестиционной деятельности;</w:t>
      </w:r>
    </w:p>
    <w:p>
      <w:pPr>
        <w:pStyle w:val="Normal"/>
        <w:widowControl w:val="false"/>
        <w:autoSpaceDE w:val="false"/>
        <w:ind w:firstLine="720" w:end="0"/>
        <w:jc w:val="both"/>
        <w:rPr>
          <w:sz w:val="28"/>
          <w:szCs w:val="28"/>
        </w:rPr>
      </w:pPr>
      <w:r>
        <w:rPr>
          <w:sz w:val="28"/>
          <w:szCs w:val="28"/>
        </w:rPr>
        <w:t>2) формирование механизмов и условий, обеспечивающих повышение инвестиционной привлекательности Вилючинского городского округа;</w:t>
      </w:r>
    </w:p>
    <w:p>
      <w:pPr>
        <w:pStyle w:val="Normal"/>
        <w:widowControl w:val="false"/>
        <w:autoSpaceDE w:val="false"/>
        <w:ind w:firstLine="720" w:end="0"/>
        <w:jc w:val="both"/>
        <w:rPr>
          <w:sz w:val="28"/>
          <w:szCs w:val="28"/>
        </w:rPr>
      </w:pPr>
      <w:r>
        <w:rPr>
          <w:sz w:val="28"/>
          <w:szCs w:val="28"/>
        </w:rPr>
        <w:t>3) развитие системы муниципальной поддержки инвестиционной деятельности на территории Вилючинского городского округа;</w:t>
      </w:r>
    </w:p>
    <w:p>
      <w:pPr>
        <w:pStyle w:val="Normal"/>
        <w:widowControl w:val="false"/>
        <w:autoSpaceDE w:val="false"/>
        <w:ind w:firstLine="720" w:end="0"/>
        <w:jc w:val="both"/>
        <w:rPr>
          <w:sz w:val="28"/>
          <w:szCs w:val="28"/>
        </w:rPr>
      </w:pPr>
      <w:r>
        <w:rPr>
          <w:sz w:val="28"/>
          <w:szCs w:val="28"/>
        </w:rPr>
        <w:t>4) увеличение доли участия СМСП, самозанятых в общем обороте хозяйствующих субъектов Вилючинского городского округа;</w:t>
      </w:r>
    </w:p>
    <w:p>
      <w:pPr>
        <w:pStyle w:val="Normal"/>
        <w:widowControl w:val="false"/>
        <w:autoSpaceDE w:val="false"/>
        <w:ind w:firstLine="720" w:end="0"/>
        <w:jc w:val="both"/>
        <w:rPr>
          <w:sz w:val="28"/>
          <w:szCs w:val="28"/>
        </w:rPr>
      </w:pPr>
      <w:r>
        <w:rPr>
          <w:sz w:val="28"/>
          <w:szCs w:val="28"/>
        </w:rPr>
        <w:t>5) развитие системы финансовой поддержки СМСП и самозанятых;</w:t>
      </w:r>
    </w:p>
    <w:p>
      <w:pPr>
        <w:pStyle w:val="Normal"/>
        <w:widowControl w:val="false"/>
        <w:autoSpaceDE w:val="false"/>
        <w:ind w:firstLine="720" w:end="0"/>
        <w:jc w:val="both"/>
        <w:rPr>
          <w:sz w:val="28"/>
          <w:szCs w:val="28"/>
        </w:rPr>
      </w:pPr>
      <w:r>
        <w:rPr>
          <w:sz w:val="28"/>
          <w:szCs w:val="28"/>
        </w:rPr>
        <w:t>6) формирование эффективной информационной системы для СМСП и самозанятых;</w:t>
      </w:r>
    </w:p>
    <w:p>
      <w:pPr>
        <w:pStyle w:val="Normal"/>
        <w:widowControl w:val="false"/>
        <w:autoSpaceDE w:val="false"/>
        <w:ind w:firstLine="720" w:end="0"/>
        <w:jc w:val="both"/>
        <w:rPr>
          <w:sz w:val="28"/>
          <w:szCs w:val="28"/>
        </w:rPr>
      </w:pPr>
      <w:r>
        <w:rPr>
          <w:sz w:val="28"/>
          <w:szCs w:val="28"/>
        </w:rPr>
        <w:t>7) совершенствование правовой поддержки СМСП и самозанятых;</w:t>
      </w:r>
    </w:p>
    <w:p>
      <w:pPr>
        <w:pStyle w:val="Normal"/>
        <w:widowControl w:val="false"/>
        <w:autoSpaceDE w:val="false"/>
        <w:ind w:firstLine="720" w:end="0"/>
        <w:jc w:val="both"/>
        <w:rPr>
          <w:sz w:val="28"/>
          <w:szCs w:val="28"/>
        </w:rPr>
      </w:pPr>
      <w:r>
        <w:rPr>
          <w:sz w:val="28"/>
          <w:szCs w:val="28"/>
        </w:rPr>
        <w:t>8) популяризация предпринимательства;</w:t>
      </w:r>
    </w:p>
    <w:p>
      <w:pPr>
        <w:pStyle w:val="Normal"/>
        <w:widowControl w:val="false"/>
        <w:autoSpaceDE w:val="false"/>
        <w:ind w:firstLine="720" w:end="0"/>
        <w:jc w:val="both"/>
        <w:rPr>
          <w:sz w:val="28"/>
          <w:szCs w:val="28"/>
        </w:rPr>
      </w:pPr>
      <w:r>
        <w:rPr>
          <w:sz w:val="28"/>
          <w:szCs w:val="28"/>
        </w:rPr>
        <w:t>9) создание условий для развития ярмарочной торговли и сбыта продукции сельскохозяйственных товаропроизводителей;</w:t>
      </w:r>
    </w:p>
    <w:p>
      <w:pPr>
        <w:pStyle w:val="Normal"/>
        <w:widowControl w:val="false"/>
        <w:autoSpaceDE w:val="false"/>
        <w:ind w:firstLine="720" w:end="0"/>
        <w:jc w:val="both"/>
        <w:rPr>
          <w:sz w:val="28"/>
          <w:szCs w:val="28"/>
        </w:rPr>
      </w:pPr>
      <w:r>
        <w:rPr>
          <w:sz w:val="28"/>
          <w:szCs w:val="28"/>
        </w:rPr>
        <w:t>10) создание условий для сбыта продукции российских товаропроизводителей, развитие малоформатной торговли.</w:t>
      </w:r>
    </w:p>
    <w:p>
      <w:pPr>
        <w:pStyle w:val="Normal"/>
        <w:widowControl w:val="false"/>
        <w:autoSpaceDE w:val="false"/>
        <w:ind w:firstLine="720" w:end="0"/>
        <w:jc w:val="both"/>
        <w:rPr>
          <w:sz w:val="28"/>
          <w:szCs w:val="28"/>
        </w:rPr>
      </w:pPr>
      <w:r>
        <w:rPr>
          <w:sz w:val="28"/>
          <w:szCs w:val="28"/>
        </w:rPr>
        <w:t>Достижение цели должно быть обеспечено за счет привлечения инвестиций в экономику, что требует качественного улучшения инвестиционного климата Вилючинского городского округа.</w:t>
      </w:r>
    </w:p>
    <w:p>
      <w:pPr>
        <w:pStyle w:val="Normal"/>
        <w:widowControl w:val="false"/>
        <w:autoSpaceDE w:val="false"/>
        <w:ind w:firstLine="720" w:end="0"/>
        <w:jc w:val="both"/>
        <w:rPr>
          <w:sz w:val="28"/>
          <w:szCs w:val="28"/>
        </w:rPr>
      </w:pPr>
      <w:r>
        <w:rPr>
          <w:sz w:val="28"/>
          <w:szCs w:val="28"/>
        </w:rPr>
        <w:t xml:space="preserve">Важным моментом для достижения целей поддержки и развития малого и среднего предпринимательства является система прямых и обратных связей между субъектами предпринимательства и структурами публичной власти, предоставляющими им различные формы поддержки. </w:t>
      </w:r>
    </w:p>
    <w:p>
      <w:pPr>
        <w:pStyle w:val="Normal"/>
        <w:widowControl w:val="false"/>
        <w:autoSpaceDE w:val="false"/>
        <w:ind w:firstLine="720" w:end="0"/>
        <w:jc w:val="both"/>
        <w:rPr>
          <w:sz w:val="28"/>
          <w:szCs w:val="28"/>
        </w:rPr>
      </w:pPr>
      <w:r>
        <w:rPr>
          <w:sz w:val="28"/>
          <w:szCs w:val="28"/>
        </w:rPr>
        <w:t>Задачи будут решаться путем реализации следующих основных мероприятий:</w:t>
      </w:r>
    </w:p>
    <w:p>
      <w:pPr>
        <w:pStyle w:val="Normal"/>
        <w:widowControl w:val="false"/>
        <w:autoSpaceDE w:val="false"/>
        <w:ind w:firstLine="720" w:end="0"/>
        <w:jc w:val="both"/>
        <w:rPr>
          <w:sz w:val="28"/>
          <w:szCs w:val="28"/>
        </w:rPr>
      </w:pPr>
      <w:r>
        <w:rPr>
          <w:sz w:val="28"/>
          <w:szCs w:val="28"/>
        </w:rPr>
        <w:t>1) создание благоприятных условий для привлечения инвестиций в экономику Вилючинского городского округа;</w:t>
      </w:r>
    </w:p>
    <w:p>
      <w:pPr>
        <w:pStyle w:val="Normal"/>
        <w:widowControl w:val="false"/>
        <w:autoSpaceDE w:val="false"/>
        <w:ind w:firstLine="720" w:end="0"/>
        <w:jc w:val="both"/>
        <w:rPr>
          <w:sz w:val="28"/>
          <w:szCs w:val="28"/>
        </w:rPr>
      </w:pPr>
      <w:r>
        <w:rPr>
          <w:sz w:val="28"/>
          <w:szCs w:val="28"/>
        </w:rPr>
        <w:t>2) развитие инвестиционной деятельности на территории Вилючинского городского округа;</w:t>
      </w:r>
    </w:p>
    <w:p>
      <w:pPr>
        <w:pStyle w:val="Normal"/>
        <w:widowControl w:val="false"/>
        <w:autoSpaceDE w:val="false"/>
        <w:ind w:firstLine="720" w:end="0"/>
        <w:jc w:val="both"/>
        <w:rPr>
          <w:sz w:val="28"/>
          <w:szCs w:val="28"/>
        </w:rPr>
      </w:pPr>
      <w:r>
        <w:rPr>
          <w:sz w:val="28"/>
          <w:szCs w:val="28"/>
        </w:rPr>
        <w:t>3) информационная и консультационная поддержка СМСП и самозанятых;</w:t>
      </w:r>
    </w:p>
    <w:p>
      <w:pPr>
        <w:pStyle w:val="Normal"/>
        <w:widowControl w:val="false"/>
        <w:autoSpaceDE w:val="false"/>
        <w:ind w:firstLine="720" w:end="0"/>
        <w:jc w:val="both"/>
        <w:rPr>
          <w:sz w:val="28"/>
          <w:szCs w:val="28"/>
        </w:rPr>
      </w:pPr>
      <w:r>
        <w:rPr>
          <w:sz w:val="28"/>
          <w:szCs w:val="28"/>
        </w:rPr>
        <w:t>4) финансовая поддержка деятельности СМСП и самозанятых;</w:t>
      </w:r>
    </w:p>
    <w:p>
      <w:pPr>
        <w:pStyle w:val="Normal"/>
        <w:widowControl w:val="false"/>
        <w:autoSpaceDE w:val="false"/>
        <w:ind w:firstLine="720" w:end="0"/>
        <w:jc w:val="both"/>
        <w:rPr>
          <w:sz w:val="28"/>
          <w:szCs w:val="28"/>
        </w:rPr>
      </w:pPr>
      <w:r>
        <w:rPr>
          <w:sz w:val="28"/>
          <w:szCs w:val="28"/>
        </w:rPr>
        <w:t>5) создание общественной (социальной) среды, благоприятной для развития бизнеса;</w:t>
      </w:r>
    </w:p>
    <w:p>
      <w:pPr>
        <w:pStyle w:val="Normal"/>
        <w:widowControl w:val="false"/>
        <w:autoSpaceDE w:val="false"/>
        <w:ind w:firstLine="720" w:end="0"/>
        <w:jc w:val="both"/>
        <w:rPr>
          <w:sz w:val="28"/>
          <w:szCs w:val="28"/>
        </w:rPr>
      </w:pPr>
      <w:r>
        <w:rPr>
          <w:sz w:val="28"/>
          <w:szCs w:val="28"/>
        </w:rPr>
        <w:t>6) правовое, организационное и аналитическое обеспечение деятельности СМСП и самозанятых;</w:t>
      </w:r>
    </w:p>
    <w:p>
      <w:pPr>
        <w:pStyle w:val="Normal"/>
        <w:widowControl w:val="false"/>
        <w:autoSpaceDE w:val="false"/>
        <w:ind w:firstLine="720" w:end="0"/>
        <w:jc w:val="both"/>
        <w:rPr>
          <w:sz w:val="28"/>
          <w:szCs w:val="28"/>
        </w:rPr>
      </w:pPr>
      <w:r>
        <w:rPr>
          <w:sz w:val="28"/>
          <w:szCs w:val="28"/>
        </w:rPr>
        <w:t>7) развитие хлебопекарного производства на территории Вилючинского городского округа;</w:t>
      </w:r>
    </w:p>
    <w:p>
      <w:pPr>
        <w:pStyle w:val="Normal"/>
        <w:widowControl w:val="false"/>
        <w:autoSpaceDE w:val="false"/>
        <w:ind w:firstLine="720" w:end="0"/>
        <w:jc w:val="both"/>
        <w:rPr>
          <w:sz w:val="28"/>
          <w:szCs w:val="28"/>
        </w:rPr>
      </w:pPr>
      <w:r>
        <w:rPr>
          <w:sz w:val="28"/>
          <w:szCs w:val="28"/>
        </w:rPr>
        <w:t>8) удовлетворенность потребности населения в продукции местных товаропроизводителей;</w:t>
      </w:r>
    </w:p>
    <w:p>
      <w:pPr>
        <w:pStyle w:val="Normal"/>
        <w:widowControl w:val="false"/>
        <w:autoSpaceDE w:val="false"/>
        <w:ind w:firstLine="720" w:end="0"/>
        <w:jc w:val="both"/>
        <w:rPr>
          <w:sz w:val="28"/>
          <w:szCs w:val="28"/>
        </w:rPr>
      </w:pPr>
      <w:r>
        <w:rPr>
          <w:sz w:val="28"/>
          <w:szCs w:val="28"/>
        </w:rPr>
        <w:t>9) создание условий для развития ярмарочной торговли и сбыта продукции сельскохозяйственных товаропроизводителей;</w:t>
      </w:r>
    </w:p>
    <w:p>
      <w:pPr>
        <w:pStyle w:val="Normal"/>
        <w:widowControl w:val="false"/>
        <w:autoSpaceDE w:val="false"/>
        <w:ind w:firstLine="720" w:end="0"/>
        <w:jc w:val="both"/>
        <w:rPr>
          <w:sz w:val="28"/>
          <w:szCs w:val="28"/>
        </w:rPr>
      </w:pPr>
      <w:r>
        <w:rPr>
          <w:sz w:val="28"/>
          <w:szCs w:val="28"/>
        </w:rPr>
        <w:t>10) создание условий для сбыта продукции российских производителей, развитие малоформатной торговли.</w:t>
      </w:r>
    </w:p>
    <w:p>
      <w:pPr>
        <w:pStyle w:val="Normal"/>
        <w:ind w:firstLine="360" w:end="-1"/>
        <w:jc w:val="both"/>
        <w:rPr>
          <w:sz w:val="28"/>
          <w:szCs w:val="28"/>
        </w:rPr>
      </w:pPr>
      <w:r>
        <w:rPr>
          <w:sz w:val="28"/>
          <w:szCs w:val="28"/>
        </w:rPr>
      </w:r>
    </w:p>
    <w:p>
      <w:pPr>
        <w:pStyle w:val="Normal"/>
        <w:widowControl w:val="false"/>
        <w:numPr>
          <w:ilvl w:val="0"/>
          <w:numId w:val="2"/>
        </w:numPr>
        <w:autoSpaceDE w:val="false"/>
        <w:spacing w:before="0" w:after="200"/>
        <w:contextualSpacing/>
        <w:jc w:val="center"/>
        <w:rPr>
          <w:b/>
          <w:sz w:val="28"/>
          <w:szCs w:val="28"/>
        </w:rPr>
      </w:pPr>
      <w:r>
        <w:rPr>
          <w:b/>
          <w:sz w:val="28"/>
          <w:szCs w:val="28"/>
        </w:rPr>
        <w:t xml:space="preserve">Перечень мероприятий Программы, сроки реализации, </w:t>
      </w:r>
    </w:p>
    <w:p>
      <w:pPr>
        <w:pStyle w:val="Normal"/>
        <w:jc w:val="center"/>
        <w:rPr>
          <w:sz w:val="28"/>
          <w:szCs w:val="28"/>
        </w:rPr>
      </w:pPr>
      <w:r>
        <w:rPr>
          <w:b/>
          <w:sz w:val="28"/>
          <w:szCs w:val="28"/>
        </w:rPr>
        <w:t>объем и источники финансирования, главные распорядители (распорядители) Программы</w:t>
      </w:r>
    </w:p>
    <w:p>
      <w:pPr>
        <w:pStyle w:val="Normal"/>
        <w:ind w:firstLine="708" w:end="-1"/>
        <w:jc w:val="both"/>
        <w:rPr>
          <w:sz w:val="28"/>
          <w:szCs w:val="28"/>
        </w:rPr>
      </w:pPr>
      <w:r>
        <w:rPr>
          <w:sz w:val="28"/>
          <w:szCs w:val="28"/>
        </w:rPr>
        <w:t xml:space="preserve">Перечень мероприятий и информация о сроках их реализации, объемах и  источниках финансирования, главных распорядителях (распорядителях) средств Программы представлены в Приложении № 1 к Программе. </w:t>
      </w:r>
    </w:p>
    <w:p>
      <w:pPr>
        <w:pStyle w:val="Normal"/>
        <w:ind w:firstLine="708" w:end="-1"/>
        <w:jc w:val="both"/>
        <w:rPr>
          <w:sz w:val="28"/>
          <w:szCs w:val="28"/>
        </w:rPr>
      </w:pPr>
      <w:r>
        <w:rPr>
          <w:sz w:val="28"/>
          <w:szCs w:val="28"/>
        </w:rPr>
        <w:t>Срок реализации Программы устанавливается на 2018 – 2029 годы.</w:t>
      </w:r>
    </w:p>
    <w:p>
      <w:pPr>
        <w:pStyle w:val="Normal"/>
        <w:ind w:firstLine="708" w:end="-1"/>
        <w:jc w:val="both"/>
        <w:rPr>
          <w:sz w:val="28"/>
          <w:szCs w:val="28"/>
        </w:rPr>
      </w:pPr>
      <w:r>
        <w:rPr>
          <w:sz w:val="28"/>
          <w:szCs w:val="28"/>
        </w:rPr>
      </w:r>
    </w:p>
    <w:p>
      <w:pPr>
        <w:pStyle w:val="Normal"/>
        <w:jc w:val="center"/>
        <w:rPr>
          <w:sz w:val="28"/>
          <w:szCs w:val="28"/>
        </w:rPr>
      </w:pPr>
      <w:r>
        <w:rPr>
          <w:b/>
          <w:sz w:val="28"/>
          <w:szCs w:val="28"/>
        </w:rPr>
        <w:t>4. Прогноз ожидаемых результатов реализации Программы и критерии оценки эффективности ее реализации</w:t>
      </w:r>
    </w:p>
    <w:p>
      <w:pPr>
        <w:pStyle w:val="Normal"/>
        <w:ind w:firstLine="709" w:end="0"/>
        <w:jc w:val="both"/>
        <w:rPr>
          <w:b/>
          <w:sz w:val="28"/>
          <w:szCs w:val="28"/>
        </w:rPr>
      </w:pPr>
      <w:r>
        <w:rPr>
          <w:sz w:val="28"/>
          <w:szCs w:val="28"/>
        </w:rPr>
        <w:t xml:space="preserve">Ожидаемыми результатами реализации Программы являются запланированные целевые показатели (индикаторы), представлены в Приложении № 2 к Программе. </w:t>
      </w:r>
    </w:p>
    <w:p>
      <w:pPr>
        <w:pStyle w:val="Normal"/>
        <w:jc w:val="center"/>
        <w:rPr>
          <w:b/>
          <w:sz w:val="28"/>
          <w:szCs w:val="28"/>
        </w:rPr>
      </w:pPr>
      <w:r>
        <w:rPr>
          <w:b/>
          <w:sz w:val="28"/>
          <w:szCs w:val="28"/>
        </w:rPr>
      </w:r>
    </w:p>
    <w:p>
      <w:pPr>
        <w:pStyle w:val="Normal"/>
        <w:numPr>
          <w:ilvl w:val="0"/>
          <w:numId w:val="9"/>
        </w:numPr>
        <w:ind w:hanging="0" w:start="0" w:end="0"/>
        <w:jc w:val="center"/>
        <w:rPr>
          <w:sz w:val="28"/>
          <w:szCs w:val="28"/>
        </w:rPr>
      </w:pPr>
      <w:r>
        <w:rPr>
          <w:b/>
          <w:sz w:val="28"/>
          <w:szCs w:val="28"/>
        </w:rPr>
        <w:t xml:space="preserve">Комплексная организация реализации Программы. </w:t>
        <w:br/>
        <w:t>Контроль выполнения программных мероприятий</w:t>
      </w:r>
    </w:p>
    <w:p>
      <w:pPr>
        <w:pStyle w:val="Normal"/>
        <w:spacing w:before="0" w:after="0"/>
        <w:ind w:firstLine="709" w:end="0"/>
        <w:contextualSpacing/>
        <w:jc w:val="both"/>
        <w:rPr>
          <w:sz w:val="28"/>
          <w:szCs w:val="28"/>
        </w:rPr>
      </w:pPr>
      <w:r>
        <w:rPr>
          <w:sz w:val="28"/>
          <w:szCs w:val="28"/>
        </w:rPr>
        <w:t>Программа реализуется в соответствии с положениями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 утвержденных постановлением администрации Вилючинского городского округа от 10.09.2013 № 1286.</w:t>
      </w:r>
    </w:p>
    <w:p>
      <w:pPr>
        <w:pStyle w:val="Normal"/>
        <w:spacing w:before="0" w:after="0"/>
        <w:ind w:firstLine="709" w:end="0"/>
        <w:contextualSpacing/>
        <w:jc w:val="both"/>
        <w:rPr>
          <w:sz w:val="28"/>
          <w:szCs w:val="28"/>
        </w:rPr>
      </w:pPr>
      <w:r>
        <w:rPr>
          <w:sz w:val="28"/>
          <w:szCs w:val="28"/>
        </w:rPr>
        <w:t>Результативность реализации Программы характеризуется достижением экономической, бюджетной и социальной эффективности.</w:t>
      </w:r>
    </w:p>
    <w:p>
      <w:pPr>
        <w:pStyle w:val="Normal"/>
        <w:spacing w:before="0" w:after="0"/>
        <w:ind w:firstLine="709" w:end="0"/>
        <w:contextualSpacing/>
        <w:jc w:val="both"/>
        <w:rPr>
          <w:sz w:val="28"/>
          <w:szCs w:val="28"/>
        </w:rPr>
      </w:pPr>
      <w:r>
        <w:rPr>
          <w:sz w:val="28"/>
          <w:szCs w:val="28"/>
        </w:rPr>
        <w:t>Муниципальный заказчик – координатор Программы несет ответственность за реализацию Программы в целом, обеспечивает выполнение программных мероприятий, эффективное и целевое использование финансовых средств, а также за размещение информации на официальном сайте органов местного самоуправления Вилючинского городского округа в информационно-коммуникационной сети «Интернет» и в общедоступном информационном ресурсе стратегического планирования в информационно-коммуникационной сети «Интернет».</w:t>
      </w:r>
    </w:p>
    <w:p>
      <w:pPr>
        <w:pStyle w:val="Normal"/>
        <w:spacing w:before="0" w:after="0"/>
        <w:ind w:firstLine="709" w:end="0"/>
        <w:contextualSpacing/>
        <w:jc w:val="both"/>
        <w:rPr>
          <w:sz w:val="28"/>
          <w:szCs w:val="28"/>
        </w:rPr>
      </w:pPr>
      <w:r>
        <w:rPr>
          <w:sz w:val="28"/>
          <w:szCs w:val="28"/>
        </w:rPr>
        <w:t>Основными функциями муниципального заказчика – координатора Программы являются:</w:t>
      </w:r>
    </w:p>
    <w:p>
      <w:pPr>
        <w:pStyle w:val="Normal"/>
        <w:widowControl w:val="false"/>
        <w:numPr>
          <w:ilvl w:val="0"/>
          <w:numId w:val="8"/>
        </w:numPr>
        <w:autoSpaceDE w:val="false"/>
        <w:spacing w:before="0" w:after="200"/>
        <w:ind w:firstLine="709" w:start="0" w:end="0"/>
        <w:contextualSpacing/>
        <w:jc w:val="both"/>
        <w:rPr>
          <w:sz w:val="28"/>
          <w:szCs w:val="28"/>
        </w:rPr>
      </w:pPr>
      <w:r>
        <w:rPr>
          <w:sz w:val="28"/>
          <w:szCs w:val="28"/>
        </w:rPr>
        <w:t>координация действий исполнителей, направленных на реализацию программных мероприятий;</w:t>
      </w:r>
    </w:p>
    <w:p>
      <w:pPr>
        <w:pStyle w:val="Normal"/>
        <w:widowControl w:val="false"/>
        <w:numPr>
          <w:ilvl w:val="0"/>
          <w:numId w:val="8"/>
        </w:numPr>
        <w:autoSpaceDE w:val="false"/>
        <w:spacing w:before="0" w:after="200"/>
        <w:ind w:firstLine="709" w:start="0" w:end="0"/>
        <w:contextualSpacing/>
        <w:jc w:val="both"/>
        <w:rPr>
          <w:sz w:val="28"/>
          <w:szCs w:val="28"/>
        </w:rPr>
      </w:pPr>
      <w:r>
        <w:rPr>
          <w:sz w:val="28"/>
          <w:szCs w:val="28"/>
        </w:rPr>
        <w:t>сбор информации о реализации Программы и использовании финансовых средств, предоставление отчетности.</w:t>
      </w:r>
    </w:p>
    <w:p>
      <w:pPr>
        <w:pStyle w:val="Normal"/>
        <w:widowControl w:val="false"/>
        <w:autoSpaceDE w:val="false"/>
        <w:spacing w:before="0" w:after="200"/>
        <w:ind w:firstLine="709" w:end="0"/>
        <w:contextualSpacing/>
        <w:jc w:val="both"/>
        <w:rPr>
          <w:sz w:val="28"/>
          <w:szCs w:val="28"/>
        </w:rPr>
      </w:pPr>
      <w:r>
        <w:rPr>
          <w:sz w:val="28"/>
          <w:szCs w:val="28"/>
        </w:rPr>
        <w:t>Исполнители Программы представляют муниципальному заказчику – координатору Программы информацию, необходимую для внесения изменений в Программу, подготовки отчетности и проведения оценки эффективности Программы, в части программных мероприятий, в реализации которых они участвуют.</w:t>
      </w:r>
    </w:p>
    <w:p>
      <w:pPr>
        <w:pStyle w:val="Normal"/>
        <w:widowControl w:val="false"/>
        <w:autoSpaceDE w:val="false"/>
        <w:spacing w:before="0" w:after="200"/>
        <w:ind w:firstLine="709" w:end="0"/>
        <w:contextualSpacing/>
        <w:jc w:val="both"/>
        <w:rPr>
          <w:sz w:val="28"/>
          <w:szCs w:val="28"/>
        </w:rPr>
      </w:pPr>
      <w:r>
        <w:rPr>
          <w:sz w:val="28"/>
          <w:szCs w:val="28"/>
        </w:rPr>
        <w:t>Главные распорядители бюджетных средств обязаны использовать средства, выделенные на выполнение программных мероприятий, своевременно и по целевому назначению, определять и уточнять целевые показатели и затраты по мероприятиям Программы, механизм реализации программных мероприятий и состав исполнителей Программы.</w:t>
      </w:r>
    </w:p>
    <w:p>
      <w:pPr>
        <w:pStyle w:val="Normal"/>
        <w:widowControl w:val="false"/>
        <w:autoSpaceDE w:val="false"/>
        <w:spacing w:before="0" w:after="200"/>
        <w:ind w:firstLine="709" w:end="0"/>
        <w:contextualSpacing/>
        <w:jc w:val="both"/>
        <w:rPr>
          <w:b/>
          <w:sz w:val="28"/>
          <w:szCs w:val="28"/>
        </w:rPr>
      </w:pPr>
      <w:r>
        <w:rPr>
          <w:sz w:val="28"/>
          <w:szCs w:val="28"/>
        </w:rPr>
        <w:t>В целях контроля выполнения программных мероприятий главные распорядители бюджетных средств обязаны обеспечивать подготовку и предоставление отчетов о ходе реализации Программы. На основании отчетов муниципальный заказчик – координатор Программы осуществляет оценку эффективности реализации Программы, в которой отражаются: уровень достижения целей и решения задач, отклонения показателей результатов Программы и затрат от плановых показателей, влияние результатов на социально-экономическое развитие Вилючинского городского округа, достижение бюджетного эффекта.</w:t>
      </w:r>
    </w:p>
    <w:p>
      <w:pPr>
        <w:pStyle w:val="Normal"/>
        <w:ind w:end="426"/>
        <w:jc w:val="both"/>
        <w:rPr>
          <w:b/>
          <w:sz w:val="28"/>
          <w:szCs w:val="28"/>
        </w:rPr>
      </w:pPr>
      <w:r>
        <w:rPr>
          <w:b/>
          <w:sz w:val="28"/>
          <w:szCs w:val="28"/>
        </w:rPr>
      </w:r>
    </w:p>
    <w:p>
      <w:pPr>
        <w:pStyle w:val="Normal"/>
        <w:ind w:end="425"/>
        <w:jc w:val="center"/>
        <w:rPr>
          <w:sz w:val="28"/>
          <w:szCs w:val="28"/>
        </w:rPr>
      </w:pPr>
      <w:r>
        <w:rPr>
          <w:b/>
          <w:sz w:val="28"/>
          <w:szCs w:val="28"/>
        </w:rPr>
        <w:t>Паспорт Подпрограммы 1</w:t>
      </w:r>
    </w:p>
    <w:p>
      <w:pPr>
        <w:pStyle w:val="Normal"/>
        <w:ind w:end="425"/>
        <w:jc w:val="center"/>
        <w:rPr>
          <w:sz w:val="28"/>
          <w:szCs w:val="28"/>
        </w:rPr>
      </w:pPr>
      <w:r>
        <w:rPr>
          <w:sz w:val="28"/>
          <w:szCs w:val="28"/>
        </w:rPr>
        <w:t xml:space="preserve">«Инвестиционный климат в Вилючинском городском округе»  </w:t>
      </w:r>
    </w:p>
    <w:tbl>
      <w:tblPr>
        <w:tblW w:w="9639" w:type="dxa"/>
        <w:jc w:val="start"/>
        <w:tblInd w:w="108" w:type="dxa"/>
        <w:tblLayout w:type="fixed"/>
        <w:tblCellMar>
          <w:top w:w="0" w:type="dxa"/>
          <w:start w:w="108" w:type="dxa"/>
          <w:bottom w:w="0" w:type="dxa"/>
          <w:end w:w="108" w:type="dxa"/>
        </w:tblCellMar>
      </w:tblPr>
      <w:tblGrid>
        <w:gridCol w:w="3261"/>
        <w:gridCol w:w="6378"/>
      </w:tblGrid>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Наименование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709" w:leader="none"/>
                <w:tab w:val="left" w:pos="4820" w:leader="none"/>
              </w:tabs>
              <w:ind w:start="33" w:end="426"/>
              <w:rPr/>
            </w:pPr>
            <w:r>
              <w:rPr>
                <w:rFonts w:eastAsia="Calibri"/>
                <w:sz w:val="28"/>
                <w:szCs w:val="28"/>
                <w:lang w:eastAsia="en-US"/>
              </w:rPr>
              <w:t>Подпрограмма 1 «Инвестиционный климат в Вилючинском городском округе»</w:t>
            </w:r>
            <w:r>
              <w:rPr>
                <w:sz w:val="28"/>
                <w:szCs w:val="28"/>
              </w:rPr>
              <w:t xml:space="preserve"> (далее – Подпрограмма 1).</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Основание для разработки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autoSpaceDE w:val="false"/>
              <w:ind w:firstLine="36" w:start="33" w:end="0"/>
              <w:rPr>
                <w:sz w:val="28"/>
                <w:szCs w:val="28"/>
              </w:rPr>
            </w:pPr>
            <w:r>
              <w:rPr>
                <w:rFonts w:eastAsia="Calibri"/>
                <w:sz w:val="28"/>
                <w:szCs w:val="28"/>
                <w:lang w:eastAsia="en-US"/>
              </w:rPr>
              <w:t>Бюджетный кодекс Российской Федерации</w:t>
            </w:r>
            <w:r>
              <w:rPr>
                <w:sz w:val="28"/>
                <w:szCs w:val="28"/>
              </w:rPr>
              <w:t xml:space="preserve">. </w:t>
            </w:r>
          </w:p>
          <w:p>
            <w:pPr>
              <w:pStyle w:val="Normal"/>
              <w:autoSpaceDE w:val="false"/>
              <w:ind w:start="33" w:end="0"/>
              <w:rPr>
                <w:sz w:val="28"/>
                <w:szCs w:val="28"/>
              </w:rPr>
            </w:pPr>
            <w:r>
              <w:rPr>
                <w:sz w:val="28"/>
                <w:szCs w:val="28"/>
              </w:rPr>
              <w:t xml:space="preserve">Федеральный закон от 25.02.1999 № 39-ФЗ </w:t>
              <w:br/>
              <w:t>«Об инвестиционной деятельности в Российской Федерации, осуществляемой в форме капитальных вложений».</w:t>
            </w:r>
          </w:p>
          <w:p>
            <w:pPr>
              <w:pStyle w:val="Normal"/>
              <w:autoSpaceDE w:val="false"/>
              <w:ind w:firstLine="36" w:start="33" w:end="0"/>
              <w:rPr>
                <w:sz w:val="28"/>
                <w:szCs w:val="28"/>
              </w:rPr>
            </w:pPr>
            <w:r>
              <w:rPr>
                <w:sz w:val="28"/>
                <w:szCs w:val="28"/>
              </w:rPr>
              <w:t>Федеральный закон от 06.10.2003 № 131-ФЗ</w:t>
              <w:br/>
              <w:t>«Об общих принципах организации местного самоуправления в Российской Федерации».</w:t>
            </w:r>
          </w:p>
          <w:p>
            <w:pPr>
              <w:pStyle w:val="Normal"/>
              <w:autoSpaceDE w:val="false"/>
              <w:ind w:start="33" w:end="0"/>
              <w:rPr>
                <w:sz w:val="28"/>
                <w:szCs w:val="28"/>
              </w:rPr>
            </w:pPr>
            <w:r>
              <w:rPr>
                <w:sz w:val="28"/>
                <w:szCs w:val="28"/>
              </w:rPr>
              <w:t xml:space="preserve">Федеральный закон от 01.04.2020 № 69-ФЗ </w:t>
              <w:br/>
              <w:t>«О защите и поощрении капиталовложений в Российской Федерации».</w:t>
            </w:r>
          </w:p>
          <w:p>
            <w:pPr>
              <w:pStyle w:val="Normal"/>
              <w:autoSpaceDE w:val="false"/>
              <w:ind w:start="33" w:end="0"/>
              <w:rPr>
                <w:sz w:val="28"/>
                <w:szCs w:val="28"/>
              </w:rPr>
            </w:pPr>
            <w:r>
              <w:rPr>
                <w:sz w:val="28"/>
                <w:szCs w:val="28"/>
              </w:rPr>
              <w:t>Закон Камчатского края от 19.12.2022 № 162</w:t>
              <w:br/>
              <w:t>«О государственной поддержке инвестиционной деятельности в Камчатском крае».</w:t>
            </w:r>
          </w:p>
          <w:p>
            <w:pPr>
              <w:pStyle w:val="Normal"/>
              <w:autoSpaceDE w:val="false"/>
              <w:ind w:firstLine="36" w:start="33" w:end="0"/>
              <w:rPr>
                <w:sz w:val="28"/>
                <w:szCs w:val="28"/>
              </w:rPr>
            </w:pPr>
            <w:r>
              <w:rPr>
                <w:sz w:val="28"/>
                <w:szCs w:val="28"/>
              </w:rPr>
              <w:t xml:space="preserve">Постановление администрации Вилючинского городского округа от 10.09.2013 № 1286 </w:t>
              <w:br/>
              <w:t>«Об утверждении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Муниципальный заказчик – координатор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Разработчик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Управление экономического развития и поддержки предпринимательства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Исполнитель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 xml:space="preserve">Администрация Вилючинского городского округа. </w:t>
            </w:r>
          </w:p>
          <w:p>
            <w:pPr>
              <w:pStyle w:val="Normal"/>
              <w:ind w:start="33" w:end="0"/>
              <w:rPr>
                <w:sz w:val="28"/>
                <w:szCs w:val="28"/>
              </w:rPr>
            </w:pPr>
            <w:r>
              <w:rPr>
                <w:sz w:val="28"/>
                <w:szCs w:val="28"/>
              </w:rPr>
              <w:t xml:space="preserve">Управление экономического развития и поддержки предпринимательства администрации Вилючинского городского округа. </w:t>
            </w:r>
          </w:p>
          <w:p>
            <w:pPr>
              <w:pStyle w:val="Normal"/>
              <w:ind w:start="33" w:end="0"/>
              <w:rPr>
                <w:sz w:val="28"/>
                <w:szCs w:val="28"/>
              </w:rPr>
            </w:pPr>
            <w:r>
              <w:rPr>
                <w:sz w:val="28"/>
                <w:szCs w:val="28"/>
              </w:rPr>
              <w:t>Управление архитектуры, градостроительства и землеустройства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 xml:space="preserve">Цель </w:t>
              <w:br/>
              <w:t>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Задачи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Разработка и реализация мер по улучшению условий ведения инвестиционной деятельности.</w:t>
            </w:r>
          </w:p>
          <w:p>
            <w:pPr>
              <w:pStyle w:val="Normal"/>
              <w:tabs>
                <w:tab w:val="clear" w:pos="708"/>
                <w:tab w:val="center" w:pos="-4140" w:leader="none"/>
                <w:tab w:val="center" w:pos="3240" w:leader="none"/>
              </w:tabs>
              <w:ind w:start="33" w:end="0"/>
              <w:rPr>
                <w:sz w:val="28"/>
                <w:szCs w:val="28"/>
              </w:rPr>
            </w:pPr>
            <w:r>
              <w:rPr>
                <w:sz w:val="28"/>
                <w:szCs w:val="28"/>
              </w:rPr>
              <w:t>Формирование механизмов и условий, обеспечивающих повышение инвестиционной привлекательности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Развитие системы муниципальной поддержки инвестиционной деятельности на территории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Перечень основных мероприятий Подпрограммы 1</w:t>
            </w:r>
          </w:p>
          <w:p>
            <w:pPr>
              <w:pStyle w:val="Normal"/>
              <w:ind w:end="426"/>
              <w:rPr>
                <w:sz w:val="28"/>
                <w:szCs w:val="28"/>
              </w:rPr>
            </w:pPr>
            <w:r>
              <w:rPr>
                <w:sz w:val="28"/>
                <w:szCs w:val="28"/>
              </w:rPr>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Создание благоприятных условий для привлечения инвестиций в экономику Вилючинского городского округа.</w:t>
            </w:r>
          </w:p>
          <w:p>
            <w:pPr>
              <w:pStyle w:val="Normal"/>
              <w:ind w:start="33" w:end="426"/>
              <w:rPr>
                <w:sz w:val="16"/>
                <w:szCs w:val="28"/>
              </w:rPr>
            </w:pPr>
            <w:r>
              <w:rPr>
                <w:sz w:val="28"/>
                <w:szCs w:val="28"/>
              </w:rPr>
              <w:t>Развитие инвестиционной деятельности на территории Вилючинского городского округа.</w:t>
            </w:r>
          </w:p>
          <w:p>
            <w:pPr>
              <w:pStyle w:val="Normal"/>
              <w:ind w:firstLine="175" w:start="33" w:end="426"/>
              <w:rPr>
                <w:sz w:val="16"/>
                <w:szCs w:val="28"/>
              </w:rPr>
            </w:pPr>
            <w:r>
              <w:rPr>
                <w:sz w:val="16"/>
                <w:szCs w:val="28"/>
              </w:rPr>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Сроки и этапы реализации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rPr/>
            </w:pPr>
            <w:r>
              <w:rPr>
                <w:sz w:val="28"/>
                <w:szCs w:val="28"/>
              </w:rPr>
              <w:t>2018 – 2029 годы.</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Объемы и источники финансирования Подпрограммы 1 в разрезе источников финансирования</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Подпрограмма 1 не требует финансирования.</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Прогноз ожидаемых результатов реализации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Улучшение инвестиционного имиджа Вилючинского городского округа.</w:t>
            </w:r>
          </w:p>
          <w:p>
            <w:pPr>
              <w:pStyle w:val="Normal"/>
              <w:ind w:start="33" w:end="0"/>
              <w:rPr>
                <w:sz w:val="28"/>
                <w:szCs w:val="28"/>
              </w:rPr>
            </w:pPr>
            <w:r>
              <w:rPr>
                <w:sz w:val="28"/>
                <w:szCs w:val="28"/>
              </w:rPr>
              <w:t>Привлечение инвестиций в экономику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Система организации контроля за исполнением Подпрограммы 1</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rPr>
                <w:sz w:val="28"/>
                <w:szCs w:val="28"/>
              </w:rPr>
            </w:pPr>
            <w:r>
              <w:rPr>
                <w:sz w:val="28"/>
                <w:szCs w:val="28"/>
              </w:rPr>
              <w:t>Общее руководство и контроль за исполнением Подпрограммы 1 осуществляет муниципальный заказчик – координатор Программы – администрация Вилючинского городского округа в лице управления экономического развития и поддержки предпринимательства администрации Вилючинского городского округа.</w:t>
            </w:r>
          </w:p>
        </w:tc>
      </w:tr>
    </w:tbl>
    <w:p>
      <w:pPr>
        <w:pStyle w:val="Normal"/>
        <w:ind w:end="426"/>
        <w:jc w:val="both"/>
        <w:rPr>
          <w:b/>
          <w:sz w:val="28"/>
          <w:szCs w:val="28"/>
        </w:rPr>
      </w:pPr>
      <w:r>
        <w:rPr>
          <w:b/>
          <w:sz w:val="28"/>
          <w:szCs w:val="28"/>
        </w:rPr>
      </w:r>
    </w:p>
    <w:p>
      <w:pPr>
        <w:pStyle w:val="Normal"/>
        <w:widowControl/>
        <w:numPr>
          <w:ilvl w:val="0"/>
          <w:numId w:val="5"/>
        </w:numPr>
        <w:suppressAutoHyphens w:val="true"/>
        <w:kinsoku w:val="true"/>
        <w:overflowPunct w:val="true"/>
        <w:autoSpaceDE w:val="true"/>
        <w:bidi w:val="0"/>
        <w:ind w:hanging="0" w:start="0" w:end="0"/>
        <w:jc w:val="center"/>
        <w:rPr>
          <w:sz w:val="28"/>
          <w:szCs w:val="28"/>
        </w:rPr>
      </w:pPr>
      <w:r>
        <w:rPr>
          <w:b/>
          <w:sz w:val="28"/>
          <w:szCs w:val="28"/>
        </w:rPr>
        <w:t>Технико-экономическое обоснование Подпрограммы 1</w:t>
      </w:r>
    </w:p>
    <w:p>
      <w:pPr>
        <w:pStyle w:val="Normal"/>
        <w:widowControl w:val="false"/>
        <w:autoSpaceDE w:val="false"/>
        <w:ind w:firstLine="709" w:end="0"/>
        <w:jc w:val="both"/>
        <w:rPr>
          <w:sz w:val="28"/>
          <w:szCs w:val="28"/>
        </w:rPr>
      </w:pPr>
      <w:r>
        <w:rPr>
          <w:sz w:val="28"/>
          <w:szCs w:val="28"/>
        </w:rPr>
        <w:t>Одним из главных факторов роста объемов производства в рыночных условиях и основой социально-экономического развития являются инвестиции.</w:t>
      </w:r>
    </w:p>
    <w:p>
      <w:pPr>
        <w:pStyle w:val="Normal"/>
        <w:widowControl w:val="false"/>
        <w:autoSpaceDE w:val="false"/>
        <w:ind w:firstLine="709" w:end="0"/>
        <w:jc w:val="both"/>
        <w:rPr>
          <w:sz w:val="28"/>
          <w:szCs w:val="28"/>
        </w:rPr>
      </w:pPr>
      <w:r>
        <w:rPr>
          <w:sz w:val="28"/>
          <w:szCs w:val="28"/>
        </w:rPr>
        <w:t>Успешное решение задач обеспечения устойчивого и сбалансированного экономического роста территории и повышения ее конкурентоспособности в значительной степени зависит от формирования и реализации стимулирующей политики привлечения инвестиционных вложений.</w:t>
      </w:r>
    </w:p>
    <w:p>
      <w:pPr>
        <w:pStyle w:val="Normal"/>
        <w:widowControl w:val="false"/>
        <w:autoSpaceDE w:val="false"/>
        <w:ind w:firstLine="709" w:end="0"/>
        <w:jc w:val="both"/>
        <w:rPr>
          <w:sz w:val="28"/>
          <w:szCs w:val="28"/>
        </w:rPr>
      </w:pPr>
      <w:r>
        <w:rPr>
          <w:sz w:val="28"/>
          <w:szCs w:val="28"/>
        </w:rPr>
        <w:t>Работа по привлечению инвестиций должна носить системный характер и осуществляться программными методами.</w:t>
      </w:r>
    </w:p>
    <w:p>
      <w:pPr>
        <w:pStyle w:val="Normal"/>
        <w:widowControl w:val="false"/>
        <w:autoSpaceDE w:val="false"/>
        <w:ind w:firstLine="709" w:end="0"/>
        <w:jc w:val="both"/>
        <w:rPr>
          <w:sz w:val="28"/>
          <w:szCs w:val="28"/>
        </w:rPr>
      </w:pPr>
      <w:r>
        <w:rPr>
          <w:sz w:val="28"/>
          <w:szCs w:val="28"/>
        </w:rPr>
        <w:t>Привлечение инвестиций в экономику Вилючинского городского округа, формирование благоприятного инвестиционного климата в целях повышения инвестиционной привлекательности и стимулирования инвестиционной активности на территории Вилючинского городского округа являются необходимыми условиями успешного развития территории, особенно в современных экономических условиях.</w:t>
      </w:r>
    </w:p>
    <w:p>
      <w:pPr>
        <w:pStyle w:val="Normal"/>
        <w:widowControl w:val="false"/>
        <w:autoSpaceDE w:val="false"/>
        <w:ind w:firstLine="709" w:end="0"/>
        <w:jc w:val="both"/>
        <w:rPr>
          <w:sz w:val="28"/>
          <w:szCs w:val="28"/>
        </w:rPr>
      </w:pPr>
      <w:r>
        <w:rPr>
          <w:sz w:val="28"/>
          <w:szCs w:val="28"/>
        </w:rPr>
        <w:t xml:space="preserve">В целях формирования благоприятного инвестиционного климата на территории Вилючинского городского округа исполнены мероприятия Дорожной карты по реализации инвестиционной стратегии, утвержденной распоряжением администрации Вилючинского городского округа от 12.05.2016 № 87-рд. Реализованы мероприятия по сопровождению инвестиционных проектов муниципальными образованиями в Камчатском крае в рамках внедрения в субъектах Российской Федерации системы поддержки новых инвестиционных проектов («Региональный инвестиционный стандарт»). На официальном сайте органов местного самоуправления Вилючинского городского округа размещен раздел «Инвестиции и предпринимательство» содержащий информацию об основных направлениях и приоритетах развития Вилючинского городского округа, контактной информации органа местного самоуправления и органа оказывающего поддержку, контактный телефон инвестиционного уполномоченного в Вилючинском городском округе, Инвестиционный Профиль Вилючинского городского округа, Инвестиционный паспорт Вилючинского городского округа, актуальный перечень инвестиционных предложений Вилючинского городского округа, механизм действий при реализации инвестиционных проектов. Взаимодействие главы Вилючинского городского округа с бизнес-сообществом и потенциальными инвесторами строится на принципах доступности власти и происходит в открытом диалоге, кроме того на официальном сайте Вилючинского городского округа размещена контактная информация органа местного самоуправления, «Горячая линия», которая обеспечивает дополнительную возможность обращения граждан в администрацию Вилючинского городского округа по вопросам формирования благоприятного инвестиционного климата в Вилючинском городском округе. </w:t>
      </w:r>
    </w:p>
    <w:p>
      <w:pPr>
        <w:pStyle w:val="Normal"/>
        <w:widowControl w:val="false"/>
        <w:autoSpaceDE w:val="false"/>
        <w:ind w:firstLine="709" w:end="0"/>
        <w:jc w:val="both"/>
        <w:rPr>
          <w:sz w:val="28"/>
          <w:szCs w:val="28"/>
        </w:rPr>
      </w:pPr>
      <w:r>
        <w:rPr>
          <w:sz w:val="28"/>
          <w:szCs w:val="28"/>
        </w:rPr>
        <w:t xml:space="preserve">С 2010 года осуществляет деятельность Координационный совет по развитию малого и среднего предпринимательства Вилючинского городского округа. </w:t>
      </w:r>
    </w:p>
    <w:p>
      <w:pPr>
        <w:pStyle w:val="Normal"/>
        <w:widowControl w:val="false"/>
        <w:autoSpaceDE w:val="false"/>
        <w:ind w:firstLine="720" w:end="0"/>
        <w:jc w:val="both"/>
        <w:rPr>
          <w:sz w:val="28"/>
          <w:szCs w:val="28"/>
        </w:rPr>
      </w:pPr>
      <w:r>
        <w:rPr>
          <w:sz w:val="28"/>
          <w:szCs w:val="28"/>
        </w:rPr>
        <w:t>Для создания благоприятной административной среды разработаны нормативные правовые акты в сфере инвестиционной деятельности и формирования благоприятного инвестиционного климата, которые определяют основные положения инвестиционной деятельности, формы и меры муниципальной поддержки, порядок сопровождения инвестиционных проектов, позволяют оперативно решать вопросы, связанные с их реализацией. Разработка и принятие нормативных правовых актов ведется на постоянной основе.</w:t>
      </w:r>
    </w:p>
    <w:p>
      <w:pPr>
        <w:pStyle w:val="Normal"/>
        <w:widowControl w:val="false"/>
        <w:autoSpaceDE w:val="false"/>
        <w:ind w:firstLine="720" w:end="0"/>
        <w:jc w:val="both"/>
        <w:rPr>
          <w:b/>
          <w:sz w:val="28"/>
          <w:szCs w:val="28"/>
        </w:rPr>
      </w:pPr>
      <w:r>
        <w:rPr>
          <w:sz w:val="28"/>
          <w:szCs w:val="28"/>
        </w:rPr>
        <w:t>Деятельность, осуществляемая органами местного самоуправления Вилючинского городского округа, направленная на эффективное использование имеющегося потенциала, будет способствовать привлечению инвестиций в экономику Вилючинского городского округа, возможному созданию новых производств и обеспечению роста объемов налоговых поступлений. Основным результатом этой деятельности станет создание базовых условий для развития инвестиционного потенциала и экономического роста региона.</w:t>
      </w:r>
    </w:p>
    <w:p>
      <w:pPr>
        <w:pStyle w:val="Normal"/>
        <w:ind w:end="426"/>
        <w:rPr>
          <w:b/>
          <w:sz w:val="28"/>
          <w:szCs w:val="28"/>
        </w:rPr>
      </w:pPr>
      <w:r>
        <w:rPr>
          <w:b/>
          <w:sz w:val="28"/>
          <w:szCs w:val="28"/>
        </w:rPr>
      </w:r>
    </w:p>
    <w:p>
      <w:pPr>
        <w:pStyle w:val="Normal"/>
        <w:numPr>
          <w:ilvl w:val="0"/>
          <w:numId w:val="5"/>
        </w:numPr>
        <w:ind w:hanging="360" w:start="720" w:end="426"/>
        <w:jc w:val="center"/>
        <w:rPr>
          <w:b/>
          <w:sz w:val="28"/>
          <w:szCs w:val="28"/>
        </w:rPr>
      </w:pPr>
      <w:r>
        <w:rPr>
          <w:b/>
          <w:sz w:val="28"/>
          <w:szCs w:val="28"/>
        </w:rPr>
        <w:t xml:space="preserve">Основные цели, задачи </w:t>
      </w:r>
    </w:p>
    <w:p>
      <w:pPr>
        <w:pStyle w:val="Normal"/>
        <w:ind w:end="426"/>
        <w:jc w:val="center"/>
        <w:rPr>
          <w:sz w:val="28"/>
          <w:szCs w:val="28"/>
        </w:rPr>
      </w:pPr>
      <w:r>
        <w:rPr>
          <w:b/>
          <w:sz w:val="28"/>
          <w:szCs w:val="28"/>
        </w:rPr>
        <w:t>и основные мероприятия Подпрограммы 1</w:t>
      </w:r>
    </w:p>
    <w:p>
      <w:pPr>
        <w:pStyle w:val="Normal"/>
        <w:widowControl w:val="false"/>
        <w:autoSpaceDE w:val="false"/>
        <w:ind w:firstLine="709" w:end="0"/>
        <w:jc w:val="both"/>
        <w:rPr>
          <w:sz w:val="28"/>
          <w:szCs w:val="28"/>
        </w:rPr>
      </w:pPr>
      <w:r>
        <w:rPr>
          <w:sz w:val="28"/>
          <w:szCs w:val="28"/>
        </w:rPr>
        <w:t xml:space="preserve">Цель – создание благоприятных условий для повышения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 </w:t>
      </w:r>
    </w:p>
    <w:p>
      <w:pPr>
        <w:pStyle w:val="Normal"/>
        <w:widowControl w:val="false"/>
        <w:autoSpaceDE w:val="false"/>
        <w:ind w:firstLine="709" w:end="0"/>
        <w:jc w:val="both"/>
        <w:rPr>
          <w:sz w:val="28"/>
          <w:szCs w:val="28"/>
        </w:rPr>
      </w:pPr>
      <w:r>
        <w:rPr>
          <w:sz w:val="28"/>
          <w:szCs w:val="28"/>
        </w:rPr>
        <w:t>Для достижения цели необходимо решение следующих основных задач:</w:t>
      </w:r>
    </w:p>
    <w:p>
      <w:pPr>
        <w:pStyle w:val="Normal"/>
        <w:widowControl w:val="false"/>
        <w:autoSpaceDE w:val="false"/>
        <w:ind w:firstLine="709" w:end="0"/>
        <w:jc w:val="both"/>
        <w:rPr>
          <w:sz w:val="28"/>
          <w:szCs w:val="28"/>
        </w:rPr>
      </w:pPr>
      <w:r>
        <w:rPr>
          <w:sz w:val="28"/>
          <w:szCs w:val="28"/>
        </w:rPr>
        <w:t>1) разработка и реализация мер по улучшению условий ведения инвестиционной деятельности;</w:t>
      </w:r>
    </w:p>
    <w:p>
      <w:pPr>
        <w:pStyle w:val="Normal"/>
        <w:widowControl w:val="false"/>
        <w:autoSpaceDE w:val="false"/>
        <w:ind w:firstLine="709" w:end="0"/>
        <w:jc w:val="both"/>
        <w:rPr>
          <w:sz w:val="28"/>
          <w:szCs w:val="28"/>
        </w:rPr>
      </w:pPr>
      <w:r>
        <w:rPr>
          <w:sz w:val="28"/>
          <w:szCs w:val="28"/>
        </w:rPr>
        <w:t>2) формирование механизмов и условий, обеспечивающих повышение инвестиционной привлекательности Вилючинского городского округа;</w:t>
      </w:r>
    </w:p>
    <w:p>
      <w:pPr>
        <w:pStyle w:val="Normal"/>
        <w:widowControl w:val="false"/>
        <w:autoSpaceDE w:val="false"/>
        <w:ind w:firstLine="709" w:end="0"/>
        <w:jc w:val="both"/>
        <w:rPr>
          <w:sz w:val="28"/>
          <w:szCs w:val="28"/>
        </w:rPr>
      </w:pPr>
      <w:r>
        <w:rPr>
          <w:sz w:val="28"/>
          <w:szCs w:val="28"/>
        </w:rPr>
        <w:t>3) развитие системы муниципальной поддержки инвестиционной деятельности на территории Вилючинского городского округа.</w:t>
      </w:r>
    </w:p>
    <w:p>
      <w:pPr>
        <w:pStyle w:val="Normal"/>
        <w:widowControl w:val="false"/>
        <w:autoSpaceDE w:val="false"/>
        <w:ind w:firstLine="709" w:end="0"/>
        <w:jc w:val="both"/>
        <w:rPr>
          <w:sz w:val="28"/>
          <w:szCs w:val="28"/>
        </w:rPr>
      </w:pPr>
      <w:r>
        <w:rPr>
          <w:sz w:val="28"/>
          <w:szCs w:val="28"/>
        </w:rPr>
        <w:t>Муниципальная поддержка инвестиционной деятельности на территории Вилючинского городского округа будет совершенствоваться путем соблюдения следующих принципов:</w:t>
      </w:r>
    </w:p>
    <w:p>
      <w:pPr>
        <w:pStyle w:val="Normal"/>
        <w:widowControl w:val="false"/>
        <w:numPr>
          <w:ilvl w:val="0"/>
          <w:numId w:val="6"/>
        </w:numPr>
        <w:tabs>
          <w:tab w:val="clear" w:pos="708"/>
          <w:tab w:val="left" w:pos="1134" w:leader="none"/>
        </w:tabs>
        <w:autoSpaceDE w:val="false"/>
        <w:ind w:firstLine="709" w:start="0" w:end="0"/>
        <w:jc w:val="both"/>
        <w:rPr>
          <w:sz w:val="28"/>
          <w:szCs w:val="28"/>
        </w:rPr>
      </w:pPr>
      <w:r>
        <w:rPr>
          <w:sz w:val="28"/>
          <w:szCs w:val="28"/>
        </w:rPr>
        <w:t>объективности и экономической обоснованности принимаемых решений;</w:t>
      </w:r>
    </w:p>
    <w:p>
      <w:pPr>
        <w:pStyle w:val="Normal"/>
        <w:widowControl w:val="false"/>
        <w:numPr>
          <w:ilvl w:val="0"/>
          <w:numId w:val="6"/>
        </w:numPr>
        <w:tabs>
          <w:tab w:val="clear" w:pos="708"/>
          <w:tab w:val="left" w:pos="1134" w:leader="none"/>
        </w:tabs>
        <w:autoSpaceDE w:val="false"/>
        <w:ind w:firstLine="709" w:start="0" w:end="0"/>
        <w:jc w:val="both"/>
        <w:rPr>
          <w:sz w:val="28"/>
          <w:szCs w:val="28"/>
        </w:rPr>
      </w:pPr>
      <w:r>
        <w:rPr>
          <w:sz w:val="28"/>
          <w:szCs w:val="28"/>
        </w:rPr>
        <w:t>открытости и доступности для всех инвесторов информации, необходимой для осуществления инвестиционной деятельности;</w:t>
      </w:r>
    </w:p>
    <w:p>
      <w:pPr>
        <w:pStyle w:val="Normal"/>
        <w:widowControl w:val="false"/>
        <w:numPr>
          <w:ilvl w:val="0"/>
          <w:numId w:val="6"/>
        </w:numPr>
        <w:tabs>
          <w:tab w:val="clear" w:pos="708"/>
          <w:tab w:val="left" w:pos="1134" w:leader="none"/>
        </w:tabs>
        <w:autoSpaceDE w:val="false"/>
        <w:ind w:firstLine="709" w:start="0" w:end="0"/>
        <w:jc w:val="both"/>
        <w:rPr>
          <w:sz w:val="28"/>
          <w:szCs w:val="28"/>
        </w:rPr>
      </w:pPr>
      <w:r>
        <w:rPr>
          <w:sz w:val="28"/>
          <w:szCs w:val="28"/>
        </w:rPr>
        <w:t>равноправия инвесторов и унифицированности публичных процедур;</w:t>
      </w:r>
    </w:p>
    <w:p>
      <w:pPr>
        <w:pStyle w:val="Normal"/>
        <w:widowControl w:val="false"/>
        <w:numPr>
          <w:ilvl w:val="0"/>
          <w:numId w:val="6"/>
        </w:numPr>
        <w:tabs>
          <w:tab w:val="clear" w:pos="708"/>
          <w:tab w:val="left" w:pos="1134" w:leader="none"/>
        </w:tabs>
        <w:autoSpaceDE w:val="false"/>
        <w:ind w:firstLine="709" w:start="0" w:end="0"/>
        <w:jc w:val="both"/>
        <w:rPr>
          <w:sz w:val="28"/>
          <w:szCs w:val="28"/>
        </w:rPr>
      </w:pPr>
      <w:r>
        <w:rPr>
          <w:sz w:val="28"/>
          <w:szCs w:val="28"/>
        </w:rPr>
        <w:t>обязательности исполнения принятых решений;</w:t>
      </w:r>
    </w:p>
    <w:p>
      <w:pPr>
        <w:pStyle w:val="Normal"/>
        <w:widowControl w:val="false"/>
        <w:numPr>
          <w:ilvl w:val="0"/>
          <w:numId w:val="6"/>
        </w:numPr>
        <w:tabs>
          <w:tab w:val="clear" w:pos="708"/>
          <w:tab w:val="left" w:pos="1134" w:leader="none"/>
        </w:tabs>
        <w:autoSpaceDE w:val="false"/>
        <w:ind w:firstLine="709" w:start="0" w:end="0"/>
        <w:jc w:val="both"/>
        <w:rPr>
          <w:sz w:val="28"/>
          <w:szCs w:val="28"/>
        </w:rPr>
      </w:pPr>
      <w:r>
        <w:rPr>
          <w:sz w:val="28"/>
          <w:szCs w:val="28"/>
        </w:rPr>
        <w:t>взаимной ответственности органов местного самоуправления и инвесторов;</w:t>
      </w:r>
    </w:p>
    <w:p>
      <w:pPr>
        <w:pStyle w:val="Normal"/>
        <w:widowControl w:val="false"/>
        <w:numPr>
          <w:ilvl w:val="0"/>
          <w:numId w:val="6"/>
        </w:numPr>
        <w:tabs>
          <w:tab w:val="clear" w:pos="708"/>
          <w:tab w:val="left" w:pos="1134" w:leader="none"/>
        </w:tabs>
        <w:autoSpaceDE w:val="false"/>
        <w:ind w:firstLine="709" w:start="0" w:end="0"/>
        <w:jc w:val="both"/>
        <w:rPr>
          <w:sz w:val="28"/>
          <w:szCs w:val="28"/>
        </w:rPr>
      </w:pPr>
      <w:r>
        <w:rPr>
          <w:sz w:val="28"/>
          <w:szCs w:val="28"/>
        </w:rPr>
        <w:t>сбалансированности публичных и частных интересов.</w:t>
      </w:r>
    </w:p>
    <w:p>
      <w:pPr>
        <w:pStyle w:val="Normal"/>
        <w:widowControl w:val="false"/>
        <w:autoSpaceDE w:val="false"/>
        <w:ind w:firstLine="709" w:end="0"/>
        <w:jc w:val="both"/>
        <w:rPr>
          <w:sz w:val="28"/>
          <w:szCs w:val="28"/>
        </w:rPr>
      </w:pPr>
      <w:r>
        <w:rPr>
          <w:sz w:val="28"/>
          <w:szCs w:val="28"/>
        </w:rPr>
        <w:t>Задачи будут решаться путем реализации следующих основных мероприятий:</w:t>
      </w:r>
    </w:p>
    <w:p>
      <w:pPr>
        <w:pStyle w:val="Normal"/>
        <w:widowControl w:val="false"/>
        <w:autoSpaceDE w:val="false"/>
        <w:ind w:firstLine="709" w:end="0"/>
        <w:jc w:val="both"/>
        <w:rPr>
          <w:sz w:val="28"/>
          <w:szCs w:val="28"/>
        </w:rPr>
      </w:pPr>
      <w:r>
        <w:rPr>
          <w:sz w:val="28"/>
          <w:szCs w:val="28"/>
        </w:rPr>
        <w:t>1) «Создание благоприятных условий для привлечения инвестиций в экономику Вилючинского городского округа».</w:t>
      </w:r>
    </w:p>
    <w:p>
      <w:pPr>
        <w:pStyle w:val="Normal"/>
        <w:widowControl w:val="false"/>
        <w:autoSpaceDE w:val="false"/>
        <w:ind w:firstLine="709" w:end="0"/>
        <w:jc w:val="both"/>
        <w:rPr>
          <w:sz w:val="28"/>
          <w:szCs w:val="28"/>
        </w:rPr>
      </w:pPr>
      <w:r>
        <w:rPr>
          <w:sz w:val="28"/>
          <w:szCs w:val="28"/>
        </w:rPr>
        <w:t>Реализация мероприятия подразумевает создание благоприятной административной среды на территории Вилючинского городского округа (разработка правовой базы, направленной на привлечение инвестиций), формирование информационной базы об инвестиционном потенциале Вилючинского городского округа (разработка и актуализация инвестиционного паспорта Вилючинского городского округа, инвестиционного профиля Вилючинского городского округа, перечня земельных участков (инвестиционных площадок), привлекательных для потенциальных инвесторов);</w:t>
      </w:r>
    </w:p>
    <w:p>
      <w:pPr>
        <w:pStyle w:val="Normal"/>
        <w:widowControl w:val="false"/>
        <w:autoSpaceDE w:val="false"/>
        <w:ind w:firstLine="709" w:end="0"/>
        <w:jc w:val="both"/>
        <w:rPr>
          <w:sz w:val="28"/>
          <w:szCs w:val="28"/>
        </w:rPr>
      </w:pPr>
      <w:r>
        <w:rPr>
          <w:sz w:val="28"/>
          <w:szCs w:val="28"/>
        </w:rPr>
        <w:t>2) «Развитие инвестиционной деятельности на территории Вилючинского городского округа».</w:t>
      </w:r>
    </w:p>
    <w:p>
      <w:pPr>
        <w:pStyle w:val="Normal"/>
        <w:widowControl w:val="false"/>
        <w:autoSpaceDE w:val="false"/>
        <w:ind w:firstLine="709" w:end="0"/>
        <w:jc w:val="both"/>
        <w:rPr>
          <w:sz w:val="28"/>
          <w:szCs w:val="28"/>
        </w:rPr>
      </w:pPr>
      <w:r>
        <w:rPr>
          <w:sz w:val="28"/>
          <w:szCs w:val="28"/>
        </w:rPr>
        <w:t>Реализация данного направления включает в себя оказание мер муниципальной поддержки, стимулирующих инвестиционную деятельность в Вилючинском городском округе, сопровождение инвестиционных проектов, размещение материалов в средствах массовой информации, применение иных мер, положительно влияющих на развитие инвестиционной деятельности.</w:t>
      </w:r>
    </w:p>
    <w:p>
      <w:pPr>
        <w:pStyle w:val="Normal"/>
        <w:widowControl w:val="false"/>
        <w:autoSpaceDE w:val="false"/>
        <w:ind w:firstLine="709" w:end="0"/>
        <w:jc w:val="both"/>
        <w:rPr>
          <w:sz w:val="28"/>
          <w:szCs w:val="28"/>
        </w:rPr>
      </w:pPr>
      <w:r>
        <w:rPr>
          <w:sz w:val="28"/>
          <w:szCs w:val="28"/>
        </w:rPr>
        <w:t>Результатом реализации указанных мероприятий будет являться повышение инвестиционной привлекательности Вилючинского городского округа и стимулирование инвестиционной активности на территории Вилючинского городского округа.</w:t>
      </w:r>
    </w:p>
    <w:p>
      <w:pPr>
        <w:pStyle w:val="Normal"/>
        <w:widowControl w:val="false"/>
        <w:autoSpaceDE w:val="false"/>
        <w:ind w:firstLine="709" w:end="0"/>
        <w:jc w:val="both"/>
        <w:rPr>
          <w:sz w:val="28"/>
          <w:szCs w:val="28"/>
        </w:rPr>
      </w:pPr>
      <w:r>
        <w:rPr>
          <w:sz w:val="28"/>
          <w:szCs w:val="28"/>
        </w:rPr>
      </w:r>
    </w:p>
    <w:p>
      <w:pPr>
        <w:pStyle w:val="Normal"/>
        <w:widowControl w:val="false"/>
        <w:numPr>
          <w:ilvl w:val="0"/>
          <w:numId w:val="5"/>
        </w:numPr>
        <w:tabs>
          <w:tab w:val="clear" w:pos="708"/>
          <w:tab w:val="left" w:pos="709" w:leader="none"/>
          <w:tab w:val="left" w:pos="993" w:leader="none"/>
        </w:tabs>
        <w:autoSpaceDE w:val="false"/>
        <w:spacing w:before="0" w:after="200"/>
        <w:ind w:hanging="0" w:start="0" w:end="0"/>
        <w:contextualSpacing/>
        <w:jc w:val="center"/>
        <w:rPr>
          <w:b/>
          <w:sz w:val="28"/>
          <w:szCs w:val="28"/>
        </w:rPr>
      </w:pPr>
      <w:r>
        <w:rPr>
          <w:b/>
          <w:sz w:val="28"/>
          <w:szCs w:val="28"/>
        </w:rPr>
        <w:t>Перечень мероприятий Подпрограммы 1, сроки реализации,</w:t>
      </w:r>
    </w:p>
    <w:p>
      <w:pPr>
        <w:pStyle w:val="Normal"/>
        <w:jc w:val="center"/>
        <w:rPr>
          <w:sz w:val="28"/>
          <w:szCs w:val="28"/>
        </w:rPr>
      </w:pPr>
      <w:r>
        <w:rPr>
          <w:b/>
          <w:sz w:val="28"/>
          <w:szCs w:val="28"/>
        </w:rPr>
        <w:t>объем и источники финансирования, главные распорядители (распорядители) Программы</w:t>
      </w:r>
    </w:p>
    <w:p>
      <w:pPr>
        <w:pStyle w:val="Normal"/>
        <w:ind w:firstLine="708" w:end="-1"/>
        <w:jc w:val="both"/>
        <w:rPr>
          <w:sz w:val="28"/>
          <w:szCs w:val="28"/>
        </w:rPr>
      </w:pPr>
      <w:r>
        <w:rPr>
          <w:sz w:val="28"/>
          <w:szCs w:val="28"/>
        </w:rPr>
        <w:t xml:space="preserve">Перечень мероприятий и информация о сроках их реализации, объемах и  источниках финансирования, главных распорядителях (распорядителях) средств Подпрограммы 1 приведены в Приложении № 1 к Программе. </w:t>
      </w:r>
    </w:p>
    <w:p>
      <w:pPr>
        <w:pStyle w:val="Normal"/>
        <w:ind w:firstLine="708" w:end="-1"/>
        <w:jc w:val="both"/>
        <w:rPr>
          <w:sz w:val="28"/>
          <w:szCs w:val="28"/>
        </w:rPr>
      </w:pPr>
      <w:r>
        <w:rPr>
          <w:sz w:val="28"/>
          <w:szCs w:val="28"/>
        </w:rPr>
        <w:t>Срок реализации Подпрограммы 1 устанавливается на 2018 – 2029 годы.</w:t>
      </w:r>
    </w:p>
    <w:p>
      <w:pPr>
        <w:pStyle w:val="Normal"/>
        <w:ind w:end="-1"/>
        <w:jc w:val="both"/>
        <w:rPr>
          <w:sz w:val="28"/>
          <w:szCs w:val="28"/>
        </w:rPr>
      </w:pPr>
      <w:r>
        <w:rPr>
          <w:sz w:val="28"/>
          <w:szCs w:val="28"/>
        </w:rPr>
      </w:r>
    </w:p>
    <w:p>
      <w:pPr>
        <w:pStyle w:val="Normal"/>
        <w:ind w:end="-1"/>
        <w:jc w:val="center"/>
        <w:rPr>
          <w:sz w:val="28"/>
          <w:szCs w:val="28"/>
        </w:rPr>
      </w:pPr>
      <w:r>
        <w:rPr>
          <w:b/>
          <w:sz w:val="28"/>
          <w:szCs w:val="28"/>
        </w:rPr>
        <w:t>4. Прогноз ожидаемых результатов реализации Подпрограммы 1 и критерии оценки эффективности ее реализации</w:t>
      </w:r>
    </w:p>
    <w:p>
      <w:pPr>
        <w:pStyle w:val="Normal"/>
        <w:ind w:firstLine="709" w:end="0"/>
        <w:jc w:val="both"/>
        <w:rPr>
          <w:b/>
          <w:sz w:val="28"/>
          <w:szCs w:val="28"/>
        </w:rPr>
      </w:pPr>
      <w:r>
        <w:rPr>
          <w:sz w:val="28"/>
          <w:szCs w:val="28"/>
        </w:rPr>
        <w:t xml:space="preserve">Ожидаемыми результатами реализации Подпрограммы 1 являются запланированные целевые показатели (индикаторы), представлены в Приложении № 2 к Программе. </w:t>
      </w:r>
    </w:p>
    <w:p>
      <w:pPr>
        <w:pStyle w:val="Normal"/>
        <w:jc w:val="center"/>
        <w:rPr>
          <w:b/>
          <w:sz w:val="28"/>
          <w:szCs w:val="28"/>
        </w:rPr>
      </w:pPr>
      <w:r>
        <w:rPr>
          <w:b/>
          <w:sz w:val="28"/>
          <w:szCs w:val="28"/>
        </w:rPr>
      </w:r>
    </w:p>
    <w:p>
      <w:pPr>
        <w:pStyle w:val="Normal"/>
        <w:jc w:val="center"/>
        <w:rPr>
          <w:sz w:val="28"/>
          <w:szCs w:val="28"/>
        </w:rPr>
      </w:pPr>
      <w:r>
        <w:rPr>
          <w:b/>
          <w:sz w:val="28"/>
          <w:szCs w:val="28"/>
        </w:rPr>
        <w:t xml:space="preserve">5. Организации реализации Подпрограммы 1. </w:t>
        <w:br/>
        <w:t>Контроль выполнения программных мероприятий</w:t>
      </w:r>
    </w:p>
    <w:p>
      <w:pPr>
        <w:pStyle w:val="Normal"/>
        <w:spacing w:before="0" w:after="0"/>
        <w:ind w:firstLine="851" w:end="0"/>
        <w:contextualSpacing/>
        <w:jc w:val="both"/>
        <w:rPr>
          <w:sz w:val="28"/>
          <w:szCs w:val="28"/>
        </w:rPr>
      </w:pPr>
      <w:r>
        <w:rPr>
          <w:sz w:val="28"/>
          <w:szCs w:val="28"/>
        </w:rPr>
        <w:t>Система организации реализации Подпрограммы 1 и контроля выполнения программных мероприятий соответствует Комплексной организации реализации Программы и контроля выполнения программных мероприятий по Программе в целом.</w:t>
      </w:r>
    </w:p>
    <w:p>
      <w:pPr>
        <w:pStyle w:val="Normal"/>
        <w:spacing w:before="0" w:after="0"/>
        <w:ind w:firstLine="851" w:end="0"/>
        <w:contextualSpacing/>
        <w:jc w:val="both"/>
        <w:rPr>
          <w:sz w:val="28"/>
          <w:szCs w:val="28"/>
        </w:rPr>
      </w:pPr>
      <w:r>
        <w:rPr>
          <w:sz w:val="28"/>
          <w:szCs w:val="28"/>
        </w:rPr>
      </w:r>
    </w:p>
    <w:p>
      <w:pPr>
        <w:pStyle w:val="Normal"/>
        <w:ind w:end="426"/>
        <w:jc w:val="center"/>
        <w:rPr>
          <w:sz w:val="28"/>
          <w:szCs w:val="28"/>
        </w:rPr>
      </w:pPr>
      <w:r>
        <w:rPr>
          <w:b/>
          <w:sz w:val="28"/>
          <w:szCs w:val="28"/>
        </w:rPr>
        <w:t xml:space="preserve">Паспорт Подпрограммы 2 </w:t>
      </w:r>
    </w:p>
    <w:p>
      <w:pPr>
        <w:pStyle w:val="Normal"/>
        <w:ind w:end="426"/>
        <w:jc w:val="center"/>
        <w:rPr>
          <w:sz w:val="28"/>
          <w:szCs w:val="28"/>
        </w:rPr>
      </w:pPr>
      <w:r>
        <w:rPr>
          <w:sz w:val="28"/>
          <w:szCs w:val="28"/>
        </w:rPr>
        <w:t>«Развитие малого и среднего предпринимательства»</w:t>
      </w:r>
    </w:p>
    <w:tbl>
      <w:tblPr>
        <w:tblW w:w="9639" w:type="dxa"/>
        <w:jc w:val="start"/>
        <w:tblInd w:w="108" w:type="dxa"/>
        <w:tblLayout w:type="fixed"/>
        <w:tblCellMar>
          <w:top w:w="0" w:type="dxa"/>
          <w:start w:w="108" w:type="dxa"/>
          <w:bottom w:w="0" w:type="dxa"/>
          <w:end w:w="108" w:type="dxa"/>
        </w:tblCellMar>
      </w:tblPr>
      <w:tblGrid>
        <w:gridCol w:w="3261"/>
        <w:gridCol w:w="6378"/>
      </w:tblGrid>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 xml:space="preserve">Наименование Подпрограммы 2 </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left" w:pos="709" w:leader="none"/>
                <w:tab w:val="left" w:pos="4820" w:leader="none"/>
              </w:tabs>
              <w:ind w:start="33" w:end="426"/>
              <w:jc w:val="both"/>
              <w:rPr/>
            </w:pPr>
            <w:r>
              <w:rPr>
                <w:rFonts w:eastAsia="Calibri"/>
                <w:sz w:val="28"/>
                <w:szCs w:val="28"/>
                <w:lang w:eastAsia="en-US"/>
              </w:rPr>
              <w:t xml:space="preserve">Подпрограмма 2 </w:t>
            </w:r>
            <w:r>
              <w:rPr>
                <w:sz w:val="28"/>
                <w:szCs w:val="28"/>
              </w:rPr>
              <w:t xml:space="preserve">«Развитие малого и среднего предпринимательства» </w:t>
              <w:br/>
              <w:t>(далее – Подпрограмма 2).</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Основание для разработки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autoSpaceDE w:val="false"/>
              <w:ind w:start="33" w:end="0"/>
              <w:rPr>
                <w:sz w:val="28"/>
                <w:szCs w:val="28"/>
              </w:rPr>
            </w:pPr>
            <w:r>
              <w:rPr>
                <w:sz w:val="28"/>
                <w:szCs w:val="28"/>
              </w:rPr>
              <w:t>Федеральный закон от 06.10.2003 № 131-ФЗ</w:t>
              <w:br/>
              <w:t>«Об общих принципах организации местного самоуправления в Российской Федерации».</w:t>
            </w:r>
          </w:p>
          <w:p>
            <w:pPr>
              <w:pStyle w:val="Normal"/>
              <w:autoSpaceDE w:val="false"/>
              <w:ind w:start="33" w:end="0"/>
              <w:rPr>
                <w:sz w:val="28"/>
                <w:szCs w:val="28"/>
              </w:rPr>
            </w:pPr>
            <w:r>
              <w:rPr>
                <w:sz w:val="28"/>
                <w:szCs w:val="28"/>
              </w:rPr>
              <w:t>Федеральный закон от 24.07.2007 № 209-ФЗ</w:t>
              <w:br/>
              <w:t>«О развитии малого и среднего предпринимательства в Российской Федерации».</w:t>
            </w:r>
          </w:p>
          <w:p>
            <w:pPr>
              <w:pStyle w:val="Normal"/>
              <w:autoSpaceDE w:val="false"/>
              <w:ind w:start="33" w:end="0"/>
              <w:rPr>
                <w:sz w:val="28"/>
                <w:szCs w:val="28"/>
              </w:rPr>
            </w:pPr>
            <w:r>
              <w:rPr>
                <w:sz w:val="28"/>
                <w:szCs w:val="28"/>
              </w:rPr>
              <w:t>Закон Камчатского края от 18.06.2008 № 71</w:t>
              <w:br/>
              <w:t>«О развитии малого и среднего предпринимательства в Камчатском крае».</w:t>
            </w:r>
          </w:p>
          <w:p>
            <w:pPr>
              <w:pStyle w:val="Normal"/>
              <w:autoSpaceDE w:val="false"/>
              <w:ind w:start="33" w:end="0"/>
              <w:rPr>
                <w:sz w:val="28"/>
                <w:szCs w:val="28"/>
              </w:rPr>
            </w:pPr>
            <w:r>
              <w:rPr>
                <w:sz w:val="28"/>
                <w:szCs w:val="28"/>
              </w:rPr>
              <w:t xml:space="preserve">Постановление администрации Вилючинского городского округа от 10.09.2013 № 1286 </w:t>
              <w:br/>
              <w:t>«Об утверждении Порядка принятия решений о разработке муниципальных программ, их формирования, реализации, проведения и критериев оценки эффективности реализации муниципальных программ».</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Муниципальный заказчик – координатор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Администрация Вилючинского городского округа в лице финансового управления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Разработчик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pPr>
            <w:r>
              <w:rPr>
                <w:sz w:val="28"/>
                <w:szCs w:val="28"/>
              </w:rPr>
              <w:t>Управление экономического развития и поддержки предпринимательства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Исполнитель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0"/>
              <w:rPr>
                <w:sz w:val="28"/>
                <w:szCs w:val="28"/>
              </w:rPr>
            </w:pPr>
            <w:r>
              <w:rPr>
                <w:sz w:val="28"/>
                <w:szCs w:val="28"/>
              </w:rPr>
              <w:t xml:space="preserve">Администрация Вилючинского городского округа. </w:t>
            </w:r>
          </w:p>
          <w:p>
            <w:pPr>
              <w:pStyle w:val="Normal"/>
              <w:ind w:start="33" w:end="0"/>
              <w:rPr>
                <w:sz w:val="28"/>
                <w:szCs w:val="28"/>
              </w:rPr>
            </w:pPr>
            <w:r>
              <w:rPr>
                <w:sz w:val="28"/>
                <w:szCs w:val="28"/>
              </w:rPr>
              <w:t xml:space="preserve">Управление экономического развития и поддержки предпринимательства администрации Вилючинского городского округа. </w:t>
            </w:r>
          </w:p>
          <w:p>
            <w:pPr>
              <w:pStyle w:val="Normal"/>
              <w:ind w:start="33" w:end="0"/>
              <w:rPr>
                <w:sz w:val="28"/>
                <w:szCs w:val="28"/>
              </w:rPr>
            </w:pPr>
            <w:r>
              <w:rPr>
                <w:sz w:val="28"/>
                <w:szCs w:val="28"/>
              </w:rPr>
              <w:t>Управление городского хозяйства администрации Вилючинского городского округа.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 xml:space="preserve">Цель </w:t>
              <w:br/>
              <w:t>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tabs>
                <w:tab w:val="clear" w:pos="708"/>
                <w:tab w:val="center" w:pos="-4140" w:leader="none"/>
                <w:tab w:val="center" w:pos="3240" w:leader="none"/>
              </w:tabs>
              <w:ind w:start="33" w:end="0"/>
              <w:rPr>
                <w:sz w:val="28"/>
                <w:szCs w:val="28"/>
              </w:rPr>
            </w:pPr>
            <w:r>
              <w:rPr>
                <w:sz w:val="28"/>
                <w:szCs w:val="28"/>
              </w:rPr>
              <w:t>Создание благоприятных условий для осуществления СМСП и самозанятыми в Вилючинском городском округе предпринимательской деятельности.</w:t>
            </w:r>
          </w:p>
          <w:p>
            <w:pPr>
              <w:pStyle w:val="Normal"/>
              <w:tabs>
                <w:tab w:val="clear" w:pos="708"/>
                <w:tab w:val="center" w:pos="-4140" w:leader="none"/>
                <w:tab w:val="center" w:pos="3240" w:leader="none"/>
              </w:tabs>
              <w:ind w:start="33" w:end="0"/>
              <w:rPr>
                <w:sz w:val="28"/>
                <w:szCs w:val="28"/>
              </w:rPr>
            </w:pPr>
            <w:r>
              <w:rPr>
                <w:sz w:val="28"/>
                <w:szCs w:val="28"/>
              </w:rPr>
              <w:t>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w:t>
            </w:r>
          </w:p>
          <w:p>
            <w:pPr>
              <w:pStyle w:val="Normal"/>
              <w:tabs>
                <w:tab w:val="clear" w:pos="708"/>
                <w:tab w:val="center" w:pos="-4140" w:leader="none"/>
                <w:tab w:val="center" w:pos="3240" w:leader="none"/>
              </w:tabs>
              <w:ind w:start="33" w:end="0"/>
              <w:rPr>
                <w:sz w:val="28"/>
                <w:szCs w:val="28"/>
              </w:rPr>
            </w:pPr>
            <w:r>
              <w:rPr>
                <w:sz w:val="28"/>
                <w:szCs w:val="28"/>
              </w:rPr>
              <w:t>Создание дополнительных рабочих мест.</w:t>
            </w:r>
          </w:p>
          <w:p>
            <w:pPr>
              <w:pStyle w:val="Normal"/>
              <w:ind w:start="33" w:end="-108"/>
              <w:rPr>
                <w:sz w:val="28"/>
                <w:szCs w:val="28"/>
              </w:rPr>
            </w:pPr>
            <w:r>
              <w:rPr>
                <w:sz w:val="28"/>
                <w:szCs w:val="28"/>
              </w:rPr>
              <w:t>Поддержка малого и среднего предпринимательства.</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jc w:val="both"/>
              <w:rPr>
                <w:sz w:val="28"/>
                <w:szCs w:val="28"/>
              </w:rPr>
            </w:pPr>
            <w:r>
              <w:rPr>
                <w:sz w:val="28"/>
                <w:szCs w:val="28"/>
              </w:rPr>
              <w:t>Задачи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autoSpaceDE w:val="false"/>
              <w:ind w:start="33" w:end="0"/>
              <w:rPr>
                <w:sz w:val="28"/>
                <w:szCs w:val="28"/>
              </w:rPr>
            </w:pPr>
            <w:r>
              <w:rPr>
                <w:sz w:val="28"/>
                <w:szCs w:val="28"/>
              </w:rPr>
              <w:t>Увеличение доли участия СМСП и самозанятых в общем обороте хозяйствующих субъектов Вилючинского городского округа.</w:t>
            </w:r>
          </w:p>
          <w:p>
            <w:pPr>
              <w:pStyle w:val="Normal"/>
              <w:autoSpaceDE w:val="false"/>
              <w:ind w:start="33" w:end="0"/>
              <w:rPr>
                <w:sz w:val="28"/>
                <w:szCs w:val="28"/>
              </w:rPr>
            </w:pPr>
            <w:r>
              <w:rPr>
                <w:sz w:val="28"/>
                <w:szCs w:val="28"/>
              </w:rPr>
              <w:t>Развитие системы финансовой поддержки СМСП и самозанятых.</w:t>
            </w:r>
          </w:p>
          <w:p>
            <w:pPr>
              <w:pStyle w:val="Normal"/>
              <w:autoSpaceDE w:val="false"/>
              <w:ind w:start="33" w:end="0"/>
              <w:rPr>
                <w:sz w:val="28"/>
                <w:szCs w:val="28"/>
              </w:rPr>
            </w:pPr>
            <w:r>
              <w:rPr>
                <w:sz w:val="28"/>
                <w:szCs w:val="28"/>
              </w:rPr>
              <w:t>Формирование эффективной информационной системы для СМСП и самозанятых.</w:t>
            </w:r>
          </w:p>
          <w:p>
            <w:pPr>
              <w:pStyle w:val="Normal"/>
              <w:autoSpaceDE w:val="false"/>
              <w:ind w:start="33" w:end="0"/>
              <w:rPr>
                <w:sz w:val="28"/>
                <w:szCs w:val="28"/>
              </w:rPr>
            </w:pPr>
            <w:r>
              <w:rPr>
                <w:sz w:val="28"/>
                <w:szCs w:val="28"/>
              </w:rPr>
              <w:t>Совершенствование правовой поддержки СМСП и самозанятых.</w:t>
            </w:r>
          </w:p>
          <w:p>
            <w:pPr>
              <w:pStyle w:val="Normal"/>
              <w:autoSpaceDE w:val="false"/>
              <w:ind w:start="33" w:end="0"/>
              <w:rPr>
                <w:sz w:val="28"/>
                <w:szCs w:val="28"/>
              </w:rPr>
            </w:pPr>
            <w:r>
              <w:rPr>
                <w:sz w:val="28"/>
                <w:szCs w:val="28"/>
              </w:rPr>
              <w:t>Популяризация предпринимательства.</w:t>
            </w:r>
          </w:p>
          <w:p>
            <w:pPr>
              <w:pStyle w:val="Normal"/>
              <w:autoSpaceDE w:val="false"/>
              <w:ind w:start="33" w:end="0"/>
              <w:rPr>
                <w:sz w:val="28"/>
                <w:szCs w:val="28"/>
              </w:rPr>
            </w:pPr>
            <w:r>
              <w:rPr>
                <w:sz w:val="28"/>
                <w:szCs w:val="28"/>
              </w:rPr>
              <w:t>Развитие хлебопекарного производства.</w:t>
            </w:r>
          </w:p>
          <w:p>
            <w:pPr>
              <w:pStyle w:val="Normal"/>
              <w:autoSpaceDE w:val="false"/>
              <w:ind w:start="33" w:end="0"/>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426"/>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Перечень основных мероприятий Подпрограммы 2</w:t>
            </w:r>
          </w:p>
          <w:p>
            <w:pPr>
              <w:pStyle w:val="Normal"/>
              <w:ind w:end="426"/>
              <w:rPr>
                <w:sz w:val="28"/>
                <w:szCs w:val="28"/>
              </w:rPr>
            </w:pPr>
            <w:r>
              <w:rPr>
                <w:sz w:val="28"/>
                <w:szCs w:val="28"/>
              </w:rPr>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sz w:val="28"/>
                <w:szCs w:val="28"/>
              </w:rPr>
            </w:pPr>
            <w:r>
              <w:rPr>
                <w:sz w:val="28"/>
                <w:szCs w:val="28"/>
              </w:rPr>
              <w:t>Информационная и консультационная поддержка СМСП и самозанятых.</w:t>
            </w:r>
          </w:p>
          <w:p>
            <w:pPr>
              <w:pStyle w:val="Normal"/>
              <w:ind w:start="33" w:end="33"/>
              <w:rPr>
                <w:sz w:val="28"/>
                <w:szCs w:val="28"/>
              </w:rPr>
            </w:pPr>
            <w:r>
              <w:rPr>
                <w:sz w:val="28"/>
                <w:szCs w:val="28"/>
              </w:rPr>
              <w:t>Финансовая поддержка деятельности СМСП и самозанятых.</w:t>
            </w:r>
          </w:p>
          <w:p>
            <w:pPr>
              <w:pStyle w:val="Normal"/>
              <w:ind w:start="33" w:end="33"/>
              <w:rPr>
                <w:sz w:val="28"/>
                <w:szCs w:val="28"/>
              </w:rPr>
            </w:pPr>
            <w:r>
              <w:rPr>
                <w:sz w:val="28"/>
                <w:szCs w:val="28"/>
              </w:rPr>
              <w:t>Создание общественной (социальной) среды, благоприятной для развития бизнеса.</w:t>
            </w:r>
          </w:p>
          <w:p>
            <w:pPr>
              <w:pStyle w:val="Normal"/>
              <w:ind w:start="33" w:end="33"/>
              <w:rPr>
                <w:sz w:val="28"/>
                <w:szCs w:val="28"/>
              </w:rPr>
            </w:pPr>
            <w:r>
              <w:rPr>
                <w:sz w:val="28"/>
                <w:szCs w:val="28"/>
              </w:rPr>
              <w:t>Правовое, организационное и аналитическое обеспечение деятельности СМСП и самозанятых.</w:t>
            </w:r>
          </w:p>
          <w:p>
            <w:pPr>
              <w:pStyle w:val="Normal"/>
              <w:ind w:start="33" w:end="33"/>
              <w:rPr>
                <w:sz w:val="28"/>
                <w:szCs w:val="28"/>
              </w:rPr>
            </w:pPr>
            <w:r>
              <w:rPr>
                <w:sz w:val="28"/>
                <w:szCs w:val="28"/>
              </w:rPr>
              <w:t>Развитие хлебопекарного производства на территории Вилючинского городского округа.</w:t>
            </w:r>
          </w:p>
          <w:p>
            <w:pPr>
              <w:pStyle w:val="Normal"/>
              <w:ind w:start="33" w:end="33"/>
              <w:rPr>
                <w:sz w:val="28"/>
                <w:szCs w:val="28"/>
              </w:rPr>
            </w:pPr>
            <w:r>
              <w:rPr>
                <w:sz w:val="28"/>
                <w:szCs w:val="28"/>
              </w:rPr>
              <w:t>Удовлетворенность потребности населения в продукции местных товаропроизводителей.</w:t>
            </w:r>
          </w:p>
          <w:p>
            <w:pPr>
              <w:pStyle w:val="Normal"/>
              <w:ind w:start="33" w:end="33"/>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ind w:start="33" w:end="33"/>
              <w:rPr>
                <w:sz w:val="28"/>
                <w:szCs w:val="28"/>
              </w:rPr>
            </w:pPr>
            <w:r>
              <w:rPr>
                <w:sz w:val="28"/>
                <w:szCs w:val="28"/>
              </w:rPr>
              <w:t>Создание условий для сбыта продукции российских производителей, развитие малоформатной торговли.</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Сроки и этапы реализации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snapToGrid w:val="false"/>
              <w:ind w:end="426"/>
              <w:jc w:val="both"/>
              <w:rPr>
                <w:sz w:val="28"/>
                <w:szCs w:val="28"/>
              </w:rPr>
            </w:pPr>
            <w:r>
              <w:rPr>
                <w:sz w:val="28"/>
                <w:szCs w:val="28"/>
              </w:rPr>
            </w:r>
          </w:p>
          <w:p>
            <w:pPr>
              <w:pStyle w:val="Normal"/>
              <w:ind w:end="426"/>
              <w:jc w:val="both"/>
              <w:rPr>
                <w:sz w:val="16"/>
                <w:szCs w:val="28"/>
              </w:rPr>
            </w:pPr>
            <w:r>
              <w:rPr>
                <w:sz w:val="28"/>
                <w:szCs w:val="28"/>
              </w:rPr>
              <w:t>2018 – 2029 годы.</w:t>
            </w:r>
          </w:p>
          <w:p>
            <w:pPr>
              <w:pStyle w:val="Normal"/>
              <w:ind w:end="426"/>
              <w:jc w:val="both"/>
              <w:rPr>
                <w:sz w:val="16"/>
                <w:szCs w:val="28"/>
              </w:rPr>
            </w:pPr>
            <w:r>
              <w:rPr>
                <w:sz w:val="16"/>
                <w:szCs w:val="28"/>
              </w:rPr>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Объемы и источники финансирования Подпрограммы 2 в разрезе источников финансирования</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426"/>
              <w:jc w:val="both"/>
              <w:rPr>
                <w:sz w:val="28"/>
                <w:szCs w:val="28"/>
              </w:rPr>
            </w:pPr>
            <w:r>
              <w:rPr>
                <w:sz w:val="28"/>
                <w:szCs w:val="28"/>
              </w:rPr>
              <w:t xml:space="preserve">Общий объем финансирования Программы на 2018 – 2029 годы составляет – </w:t>
            </w:r>
          </w:p>
          <w:p>
            <w:pPr>
              <w:pStyle w:val="Normal"/>
              <w:ind w:start="33" w:end="426"/>
              <w:jc w:val="both"/>
              <w:rPr>
                <w:sz w:val="28"/>
                <w:szCs w:val="28"/>
              </w:rPr>
            </w:pPr>
            <w:r>
              <w:rPr>
                <w:sz w:val="28"/>
                <w:szCs w:val="28"/>
              </w:rPr>
              <w:t>3 521,01000 тыс. руб., из них по годам:</w:t>
            </w:r>
          </w:p>
          <w:p>
            <w:pPr>
              <w:pStyle w:val="Normal"/>
              <w:tabs>
                <w:tab w:val="clear" w:pos="708"/>
                <w:tab w:val="center" w:pos="-4140" w:leader="none"/>
              </w:tabs>
              <w:ind w:start="33" w:end="0"/>
              <w:rPr>
                <w:sz w:val="28"/>
                <w:szCs w:val="28"/>
              </w:rPr>
            </w:pPr>
            <w:r>
              <w:rPr>
                <w:sz w:val="28"/>
                <w:szCs w:val="28"/>
              </w:rPr>
              <w:t>2018 год – 473,33400 тыс. руб.;</w:t>
            </w:r>
          </w:p>
          <w:p>
            <w:pPr>
              <w:pStyle w:val="Normal"/>
              <w:tabs>
                <w:tab w:val="clear" w:pos="708"/>
                <w:tab w:val="center" w:pos="-4140" w:leader="none"/>
              </w:tabs>
              <w:ind w:start="33" w:end="0"/>
              <w:rPr>
                <w:sz w:val="28"/>
                <w:szCs w:val="28"/>
              </w:rPr>
            </w:pPr>
            <w:r>
              <w:rPr>
                <w:sz w:val="28"/>
                <w:szCs w:val="28"/>
              </w:rPr>
              <w:t>2019 год – 550,00000 тыс. руб.;</w:t>
            </w:r>
          </w:p>
          <w:p>
            <w:pPr>
              <w:pStyle w:val="Normal"/>
              <w:tabs>
                <w:tab w:val="clear" w:pos="708"/>
                <w:tab w:val="center" w:pos="-4140" w:leader="none"/>
              </w:tabs>
              <w:ind w:start="33" w:end="0"/>
              <w:rPr>
                <w:sz w:val="28"/>
                <w:szCs w:val="28"/>
              </w:rPr>
            </w:pPr>
            <w:r>
              <w:rPr>
                <w:sz w:val="28"/>
                <w:szCs w:val="28"/>
              </w:rPr>
              <w:t>2020 год – 256,45000 тыс. руб.;</w:t>
            </w:r>
          </w:p>
          <w:p>
            <w:pPr>
              <w:pStyle w:val="Normal"/>
              <w:tabs>
                <w:tab w:val="clear" w:pos="708"/>
                <w:tab w:val="center" w:pos="-4140" w:leader="none"/>
              </w:tabs>
              <w:ind w:start="33" w:end="0"/>
              <w:rPr>
                <w:sz w:val="28"/>
                <w:szCs w:val="28"/>
              </w:rPr>
            </w:pPr>
            <w:r>
              <w:rPr>
                <w:sz w:val="28"/>
                <w:szCs w:val="28"/>
              </w:rPr>
              <w:t>2021 год – 275,34700 тыс. руб.;</w:t>
            </w:r>
          </w:p>
          <w:p>
            <w:pPr>
              <w:pStyle w:val="Normal"/>
              <w:tabs>
                <w:tab w:val="clear" w:pos="708"/>
                <w:tab w:val="center" w:pos="-4140" w:leader="none"/>
              </w:tabs>
              <w:ind w:start="33" w:end="0"/>
              <w:rPr>
                <w:sz w:val="28"/>
                <w:szCs w:val="28"/>
              </w:rPr>
            </w:pPr>
            <w:r>
              <w:rPr>
                <w:sz w:val="28"/>
                <w:szCs w:val="28"/>
              </w:rPr>
              <w:t>2022 год – 1 193,08700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500,0000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 xml:space="preserve">краевого бюджета – 1 542,84100 тыс. руб., </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300,00000 тыс. руб.;</w:t>
            </w:r>
          </w:p>
          <w:p>
            <w:pPr>
              <w:pStyle w:val="Normal"/>
              <w:tabs>
                <w:tab w:val="clear" w:pos="708"/>
                <w:tab w:val="center" w:pos="-4140" w:leader="none"/>
              </w:tabs>
              <w:ind w:start="33" w:end="0"/>
              <w:rPr>
                <w:sz w:val="28"/>
                <w:szCs w:val="28"/>
              </w:rPr>
            </w:pPr>
            <w:r>
              <w:rPr>
                <w:sz w:val="28"/>
                <w:szCs w:val="28"/>
              </w:rPr>
              <w:t>2019 год – 150,00000 тыс. руб.;</w:t>
            </w:r>
          </w:p>
          <w:p>
            <w:pPr>
              <w:pStyle w:val="Normal"/>
              <w:tabs>
                <w:tab w:val="clear" w:pos="708"/>
                <w:tab w:val="center" w:pos="-4140" w:leader="none"/>
              </w:tabs>
              <w:ind w:start="33" w:end="0"/>
              <w:rPr>
                <w:sz w:val="28"/>
                <w:szCs w:val="28"/>
              </w:rPr>
            </w:pPr>
            <w:r>
              <w:rPr>
                <w:sz w:val="28"/>
                <w:szCs w:val="28"/>
              </w:rPr>
              <w:t>2020 год – 64,42000 тыс. руб.;</w:t>
            </w:r>
          </w:p>
          <w:p>
            <w:pPr>
              <w:pStyle w:val="Normal"/>
              <w:ind w:start="33" w:end="426"/>
              <w:jc w:val="both"/>
              <w:rPr>
                <w:sz w:val="28"/>
                <w:szCs w:val="28"/>
              </w:rPr>
            </w:pPr>
            <w:r>
              <w:rPr>
                <w:sz w:val="28"/>
                <w:szCs w:val="28"/>
              </w:rPr>
              <w:t>2021 год – 181,80000 тыс. руб.;</w:t>
            </w:r>
          </w:p>
          <w:p>
            <w:pPr>
              <w:pStyle w:val="Normal"/>
              <w:ind w:start="33" w:end="426"/>
              <w:jc w:val="both"/>
              <w:rPr>
                <w:sz w:val="28"/>
                <w:szCs w:val="28"/>
              </w:rPr>
            </w:pPr>
            <w:r>
              <w:rPr>
                <w:sz w:val="28"/>
                <w:szCs w:val="28"/>
              </w:rPr>
              <w:t>2022 год – 846,62100 тыс. руб.;</w:t>
            </w:r>
          </w:p>
          <w:p>
            <w:pPr>
              <w:pStyle w:val="Normal"/>
              <w:ind w:start="33" w:end="426"/>
              <w:jc w:val="both"/>
              <w:rPr>
                <w:sz w:val="28"/>
                <w:szCs w:val="28"/>
              </w:rPr>
            </w:pPr>
            <w:r>
              <w:rPr>
                <w:sz w:val="28"/>
                <w:szCs w:val="28"/>
              </w:rPr>
              <w:t>2023 год – 0,00000 тыс. руб.;</w:t>
            </w:r>
          </w:p>
          <w:p>
            <w:pPr>
              <w:pStyle w:val="Normal"/>
              <w:ind w:start="33" w:end="426"/>
              <w:jc w:val="both"/>
              <w:rPr>
                <w:sz w:val="28"/>
                <w:szCs w:val="28"/>
              </w:rPr>
            </w:pPr>
            <w:r>
              <w:rPr>
                <w:sz w:val="28"/>
                <w:szCs w:val="28"/>
              </w:rPr>
              <w:t>2024 год – 0,00000 тыс. руб.;</w:t>
            </w:r>
          </w:p>
          <w:p>
            <w:pPr>
              <w:pStyle w:val="Normal"/>
              <w:ind w:start="33" w:end="426"/>
              <w:jc w:val="both"/>
              <w:rPr>
                <w:sz w:val="28"/>
                <w:szCs w:val="28"/>
              </w:rPr>
            </w:pPr>
            <w:r>
              <w:rPr>
                <w:sz w:val="28"/>
                <w:szCs w:val="28"/>
              </w:rPr>
              <w:t>2025 год – 0,00000 тыс. руб.;</w:t>
            </w:r>
          </w:p>
          <w:p>
            <w:pPr>
              <w:pStyle w:val="Normal"/>
              <w:ind w:start="33" w:end="426"/>
              <w:jc w:val="both"/>
              <w:rPr>
                <w:sz w:val="28"/>
                <w:szCs w:val="28"/>
              </w:rPr>
            </w:pPr>
            <w:r>
              <w:rPr>
                <w:sz w:val="28"/>
                <w:szCs w:val="28"/>
              </w:rPr>
              <w:t>2026 год – 0,00000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2029 год – 0,00000 тыс. руб.,</w:t>
            </w:r>
          </w:p>
          <w:p>
            <w:pPr>
              <w:pStyle w:val="Normal"/>
              <w:ind w:start="33" w:end="426"/>
              <w:jc w:val="both"/>
              <w:rPr>
                <w:sz w:val="28"/>
                <w:szCs w:val="28"/>
              </w:rPr>
            </w:pPr>
            <w:r>
              <w:rPr>
                <w:sz w:val="28"/>
                <w:szCs w:val="28"/>
              </w:rPr>
              <w:t>в том числе за счет средств:</w:t>
            </w:r>
          </w:p>
          <w:p>
            <w:pPr>
              <w:pStyle w:val="Normal"/>
              <w:ind w:start="33" w:end="426"/>
              <w:jc w:val="both"/>
              <w:rPr>
                <w:sz w:val="28"/>
                <w:szCs w:val="28"/>
              </w:rPr>
            </w:pPr>
            <w:r>
              <w:rPr>
                <w:sz w:val="28"/>
                <w:szCs w:val="28"/>
              </w:rPr>
              <w:t xml:space="preserve">местного бюджета – 1 978,16900 тыс. руб., </w:t>
            </w:r>
          </w:p>
          <w:p>
            <w:pPr>
              <w:pStyle w:val="Normal"/>
              <w:ind w:start="33" w:end="426"/>
              <w:jc w:val="both"/>
              <w:rPr>
                <w:sz w:val="28"/>
                <w:szCs w:val="28"/>
              </w:rPr>
            </w:pPr>
            <w:r>
              <w:rPr>
                <w:sz w:val="28"/>
                <w:szCs w:val="28"/>
              </w:rPr>
              <w:t>из них по годам:</w:t>
            </w:r>
          </w:p>
          <w:p>
            <w:pPr>
              <w:pStyle w:val="Normal"/>
              <w:tabs>
                <w:tab w:val="clear" w:pos="708"/>
                <w:tab w:val="center" w:pos="-4140" w:leader="none"/>
              </w:tabs>
              <w:ind w:start="33" w:end="0"/>
              <w:rPr>
                <w:sz w:val="28"/>
                <w:szCs w:val="28"/>
              </w:rPr>
            </w:pPr>
            <w:r>
              <w:rPr>
                <w:sz w:val="28"/>
                <w:szCs w:val="28"/>
              </w:rPr>
              <w:t>2018 год – 173,33400 тыс. руб.;</w:t>
            </w:r>
          </w:p>
          <w:p>
            <w:pPr>
              <w:pStyle w:val="Normal"/>
              <w:tabs>
                <w:tab w:val="clear" w:pos="708"/>
                <w:tab w:val="center" w:pos="-4140" w:leader="none"/>
              </w:tabs>
              <w:ind w:start="33" w:end="0"/>
              <w:rPr>
                <w:sz w:val="28"/>
                <w:szCs w:val="28"/>
              </w:rPr>
            </w:pPr>
            <w:r>
              <w:rPr>
                <w:sz w:val="28"/>
                <w:szCs w:val="28"/>
              </w:rPr>
              <w:t>2019 год – 400,00000 тыс. руб.;</w:t>
            </w:r>
          </w:p>
          <w:p>
            <w:pPr>
              <w:pStyle w:val="Normal"/>
              <w:tabs>
                <w:tab w:val="clear" w:pos="708"/>
                <w:tab w:val="center" w:pos="-4140" w:leader="none"/>
              </w:tabs>
              <w:ind w:start="33" w:end="0"/>
              <w:rPr>
                <w:sz w:val="28"/>
                <w:szCs w:val="28"/>
              </w:rPr>
            </w:pPr>
            <w:r>
              <w:rPr>
                <w:sz w:val="28"/>
                <w:szCs w:val="28"/>
              </w:rPr>
              <w:t>2020 год – 192,03000 тыс. руб.;</w:t>
            </w:r>
          </w:p>
          <w:p>
            <w:pPr>
              <w:pStyle w:val="Normal"/>
              <w:ind w:start="33" w:end="426"/>
              <w:jc w:val="both"/>
              <w:rPr>
                <w:sz w:val="28"/>
                <w:szCs w:val="28"/>
              </w:rPr>
            </w:pPr>
            <w:r>
              <w:rPr>
                <w:sz w:val="28"/>
                <w:szCs w:val="28"/>
              </w:rPr>
              <w:t>2021 год – 93,54700 тыс. руб.;</w:t>
            </w:r>
          </w:p>
          <w:p>
            <w:pPr>
              <w:pStyle w:val="Normal"/>
              <w:ind w:start="33" w:end="426"/>
              <w:jc w:val="both"/>
              <w:rPr>
                <w:sz w:val="28"/>
                <w:szCs w:val="28"/>
              </w:rPr>
            </w:pPr>
            <w:r>
              <w:rPr>
                <w:sz w:val="28"/>
                <w:szCs w:val="28"/>
              </w:rPr>
              <w:t>2022 год – 346,46600 тыс. руб.;</w:t>
            </w:r>
          </w:p>
          <w:p>
            <w:pPr>
              <w:pStyle w:val="Normal"/>
              <w:tabs>
                <w:tab w:val="clear" w:pos="708"/>
                <w:tab w:val="center" w:pos="-4140" w:leader="none"/>
              </w:tabs>
              <w:ind w:start="33" w:end="0"/>
              <w:rPr>
                <w:sz w:val="28"/>
                <w:szCs w:val="28"/>
              </w:rPr>
            </w:pPr>
            <w:r>
              <w:rPr>
                <w:sz w:val="28"/>
                <w:szCs w:val="28"/>
              </w:rPr>
              <w:t>2023 год – 17,79800 тыс. руб.;</w:t>
            </w:r>
          </w:p>
          <w:p>
            <w:pPr>
              <w:pStyle w:val="Normal"/>
              <w:ind w:start="33" w:end="426"/>
              <w:jc w:val="both"/>
              <w:rPr>
                <w:sz w:val="28"/>
                <w:szCs w:val="28"/>
              </w:rPr>
            </w:pPr>
            <w:r>
              <w:rPr>
                <w:sz w:val="28"/>
                <w:szCs w:val="28"/>
              </w:rPr>
              <w:t>2024 год – 14,99700 тыс. руб.;</w:t>
            </w:r>
          </w:p>
          <w:p>
            <w:pPr>
              <w:pStyle w:val="Normal"/>
              <w:ind w:start="33" w:end="426"/>
              <w:jc w:val="both"/>
              <w:rPr>
                <w:sz w:val="28"/>
                <w:szCs w:val="28"/>
              </w:rPr>
            </w:pPr>
            <w:r>
              <w:rPr>
                <w:sz w:val="28"/>
                <w:szCs w:val="28"/>
              </w:rPr>
              <w:t>2025 год – 14,99700 тыс. руб.;</w:t>
            </w:r>
          </w:p>
          <w:p>
            <w:pPr>
              <w:pStyle w:val="Normal"/>
              <w:ind w:start="33" w:end="426"/>
              <w:jc w:val="both"/>
              <w:rPr>
                <w:sz w:val="28"/>
                <w:szCs w:val="28"/>
              </w:rPr>
            </w:pPr>
            <w:r>
              <w:rPr>
                <w:sz w:val="28"/>
                <w:szCs w:val="28"/>
              </w:rPr>
              <w:t>2026 год – 225,00000 тыс. руб.;</w:t>
            </w:r>
          </w:p>
          <w:p>
            <w:pPr>
              <w:pStyle w:val="Normal"/>
              <w:ind w:start="33" w:end="426"/>
              <w:jc w:val="both"/>
              <w:rPr>
                <w:sz w:val="28"/>
                <w:szCs w:val="28"/>
              </w:rPr>
            </w:pPr>
            <w:r>
              <w:rPr>
                <w:sz w:val="28"/>
                <w:szCs w:val="28"/>
              </w:rPr>
              <w:t>2027 год – 0,00000 тыс. руб.;</w:t>
            </w:r>
          </w:p>
          <w:p>
            <w:pPr>
              <w:pStyle w:val="Normal"/>
              <w:ind w:start="33" w:end="426"/>
              <w:jc w:val="both"/>
              <w:rPr>
                <w:sz w:val="28"/>
                <w:szCs w:val="28"/>
              </w:rPr>
            </w:pPr>
            <w:r>
              <w:rPr>
                <w:sz w:val="28"/>
                <w:szCs w:val="28"/>
              </w:rPr>
              <w:t>2028 год – 0,00000 тыс. руб.;</w:t>
            </w:r>
          </w:p>
          <w:p>
            <w:pPr>
              <w:pStyle w:val="Normal"/>
              <w:ind w:start="33" w:end="426"/>
              <w:jc w:val="both"/>
              <w:rPr>
                <w:sz w:val="28"/>
                <w:szCs w:val="28"/>
              </w:rPr>
            </w:pPr>
            <w:r>
              <w:rPr>
                <w:sz w:val="28"/>
                <w:szCs w:val="28"/>
              </w:rPr>
              <w:t>2028 год – 500,0000 тыс. руб.</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Прогноз ожидаемых результатов реализации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0"/>
              <w:rPr>
                <w:color w:val="000000"/>
                <w:sz w:val="28"/>
                <w:szCs w:val="28"/>
              </w:rPr>
            </w:pPr>
            <w:r>
              <w:rPr>
                <w:sz w:val="28"/>
                <w:szCs w:val="28"/>
              </w:rPr>
              <w:t>Рост количества зарегистрированных индивидуальных предпринимателей.</w:t>
            </w:r>
          </w:p>
          <w:p>
            <w:pPr>
              <w:pStyle w:val="Normal"/>
              <w:widowControl w:val="false"/>
              <w:autoSpaceDE w:val="false"/>
              <w:ind w:start="33" w:end="0"/>
              <w:rPr>
                <w:sz w:val="28"/>
                <w:szCs w:val="28"/>
              </w:rPr>
            </w:pPr>
            <w:r>
              <w:rPr>
                <w:color w:val="000000"/>
                <w:sz w:val="28"/>
                <w:szCs w:val="28"/>
              </w:rPr>
              <w:t xml:space="preserve">Увеличение объема и повышение </w:t>
            </w:r>
            <w:r>
              <w:rPr>
                <w:sz w:val="28"/>
                <w:szCs w:val="28"/>
              </w:rPr>
              <w:t>уровня конкурентоспособности</w:t>
            </w:r>
            <w:r>
              <w:rPr>
                <w:color w:val="000000"/>
                <w:sz w:val="28"/>
                <w:szCs w:val="28"/>
              </w:rPr>
              <w:t xml:space="preserve"> продукции (услуг), производимой (оказываемых) СМСП и самозанятыми.</w:t>
            </w:r>
          </w:p>
          <w:p>
            <w:pPr>
              <w:pStyle w:val="Normal"/>
              <w:widowControl w:val="false"/>
              <w:autoSpaceDE w:val="false"/>
              <w:ind w:start="33" w:end="0"/>
              <w:rPr>
                <w:sz w:val="28"/>
                <w:szCs w:val="28"/>
              </w:rPr>
            </w:pPr>
            <w:r>
              <w:rPr>
                <w:sz w:val="28"/>
                <w:szCs w:val="28"/>
              </w:rPr>
              <w:t xml:space="preserve">Увеличение поступлений в бюджет Вилючинского городского округа налогов от предпринимательской деятельности. </w:t>
            </w:r>
          </w:p>
          <w:p>
            <w:pPr>
              <w:pStyle w:val="Normal"/>
              <w:widowControl w:val="false"/>
              <w:autoSpaceDE w:val="false"/>
              <w:ind w:start="33" w:end="0"/>
              <w:rPr>
                <w:sz w:val="28"/>
                <w:szCs w:val="28"/>
              </w:rPr>
            </w:pPr>
            <w:r>
              <w:rPr>
                <w:sz w:val="28"/>
                <w:szCs w:val="28"/>
              </w:rPr>
              <w:t>Социальный эффект реализации Программы  заключается в сохранении уже созданных рабочих мест и создании новых рабочих мест, вовлечение экономически активного населения из различных слоев общества в процесс предпринимательской деятельности, и, как результат, улучшение качества жизни населения.</w:t>
            </w:r>
          </w:p>
        </w:tc>
      </w:tr>
      <w:tr>
        <w:trPr/>
        <w:tc>
          <w:tcPr>
            <w:tcW w:w="3261" w:type="dxa"/>
            <w:tcBorders>
              <w:top w:val="single" w:sz="4" w:space="0" w:color="000000"/>
              <w:start w:val="single" w:sz="4" w:space="0" w:color="000000"/>
              <w:bottom w:val="single" w:sz="4" w:space="0" w:color="000000"/>
              <w:end w:val="single" w:sz="4" w:space="0" w:color="000000"/>
            </w:tcBorders>
          </w:tcPr>
          <w:p>
            <w:pPr>
              <w:pStyle w:val="Normal"/>
              <w:ind w:end="426"/>
              <w:rPr>
                <w:sz w:val="28"/>
                <w:szCs w:val="28"/>
              </w:rPr>
            </w:pPr>
            <w:r>
              <w:rPr>
                <w:sz w:val="28"/>
                <w:szCs w:val="28"/>
              </w:rPr>
              <w:t>Система организации контроля за исполнением Подпрограммы 2</w:t>
            </w:r>
          </w:p>
        </w:tc>
        <w:tc>
          <w:tcPr>
            <w:tcW w:w="6378" w:type="dxa"/>
            <w:tcBorders>
              <w:top w:val="single" w:sz="4" w:space="0" w:color="000000"/>
              <w:start w:val="single" w:sz="4" w:space="0" w:color="000000"/>
              <w:bottom w:val="single" w:sz="4" w:space="0" w:color="000000"/>
              <w:end w:val="single" w:sz="4" w:space="0" w:color="000000"/>
            </w:tcBorders>
          </w:tcPr>
          <w:p>
            <w:pPr>
              <w:pStyle w:val="Normal"/>
              <w:ind w:start="33" w:end="33"/>
              <w:rPr/>
            </w:pPr>
            <w:r>
              <w:rPr>
                <w:sz w:val="28"/>
                <w:szCs w:val="28"/>
              </w:rPr>
              <w:t xml:space="preserve">Общее руководство и контроль за исполнением Подпрограммы 2 осуществляет муниципальный заказчик – координатор Программы – администрация Вилючинского городского округа в лице управления экономического развития и поддержки предпринимательста администрации Вилючинского городского округа. </w:t>
            </w:r>
          </w:p>
        </w:tc>
      </w:tr>
    </w:tbl>
    <w:p>
      <w:pPr>
        <w:pStyle w:val="Normal"/>
        <w:ind w:start="360" w:end="426"/>
        <w:jc w:val="center"/>
        <w:rPr>
          <w:sz w:val="28"/>
          <w:szCs w:val="28"/>
        </w:rPr>
      </w:pPr>
      <w:r>
        <w:rPr>
          <w:b/>
          <w:sz w:val="28"/>
          <w:szCs w:val="28"/>
        </w:rPr>
        <w:t>1. Технико-экономическое обоснование Подпрограммы 2</w:t>
      </w:r>
    </w:p>
    <w:p>
      <w:pPr>
        <w:pStyle w:val="Normal"/>
        <w:autoSpaceDE w:val="false"/>
        <w:ind w:firstLine="709" w:end="0"/>
        <w:jc w:val="both"/>
        <w:rPr>
          <w:sz w:val="28"/>
          <w:szCs w:val="28"/>
        </w:rPr>
      </w:pPr>
      <w:r>
        <w:rPr>
          <w:sz w:val="28"/>
          <w:szCs w:val="28"/>
        </w:rPr>
        <w:t xml:space="preserve">Активизация предпринимательской деятельности и развитие малого и среднего предпринимательства являются необходимыми условиями стабильного экономического роста в Вилючинском городском округе. </w:t>
      </w:r>
    </w:p>
    <w:p>
      <w:pPr>
        <w:pStyle w:val="Normal"/>
        <w:autoSpaceDE w:val="false"/>
        <w:ind w:firstLine="720" w:end="0"/>
        <w:jc w:val="both"/>
        <w:rPr>
          <w:sz w:val="28"/>
          <w:szCs w:val="28"/>
          <w:shd w:fill="auto" w:val="clear"/>
        </w:rPr>
      </w:pPr>
      <w:r>
        <w:rPr>
          <w:sz w:val="28"/>
          <w:szCs w:val="28"/>
        </w:rPr>
        <w:t>Специфика деятельности малого и среднего предпринимательства в условиях ЗАТО проявляется в более низких темпах развития, как по экономическим параметрам, так и по показателям занятости, что объясняется в первую очередь особым режимом функционирования ЗАТО.</w:t>
      </w:r>
    </w:p>
    <w:p>
      <w:pPr>
        <w:pStyle w:val="Normal"/>
        <w:autoSpaceDE w:val="false"/>
        <w:ind w:firstLine="709" w:end="0"/>
        <w:jc w:val="both"/>
        <w:rPr>
          <w:sz w:val="28"/>
          <w:szCs w:val="28"/>
          <w:shd w:fill="auto" w:val="clear"/>
        </w:rPr>
      </w:pPr>
      <w:r>
        <w:rPr>
          <w:sz w:val="28"/>
          <w:szCs w:val="28"/>
          <w:shd w:fill="auto" w:val="clear"/>
        </w:rPr>
        <w:t xml:space="preserve">По данным единого реестра субъектов малого и среднего предпринимательства Федеральной налоговой службы, на территории Вилючинского городского округа по состоянию </w:t>
      </w:r>
      <w:r>
        <w:rPr>
          <w:bCs/>
          <w:sz w:val="28"/>
          <w:szCs w:val="28"/>
          <w:shd w:fill="auto" w:val="clear"/>
        </w:rPr>
        <w:t xml:space="preserve">по состоянию на 01.01.2026 зарегистрировано 715 субъектов малого и среднего предпринимательства, из них: 535 – </w:t>
      </w:r>
      <w:r>
        <w:rPr>
          <w:sz w:val="28"/>
          <w:szCs w:val="28"/>
          <w:shd w:fill="auto" w:val="clear"/>
        </w:rPr>
        <w:t>индивидуальные предприниматели, 180 – юридические лица;</w:t>
      </w:r>
      <w:r>
        <w:rPr>
          <w:bCs/>
          <w:sz w:val="28"/>
          <w:szCs w:val="28"/>
          <w:shd w:fill="auto" w:val="clear"/>
        </w:rPr>
        <w:t xml:space="preserve"> 5 субъектов предпринимательской деятельности являются социальными предприятиями; 131 – вновь созданные субъекты малого и среднего предпринимательства. Количество микропредприятий составляет – 699, малых – 15, средних – 1. </w:t>
      </w:r>
    </w:p>
    <w:p>
      <w:pPr>
        <w:pStyle w:val="Normal"/>
        <w:autoSpaceDE w:val="false"/>
        <w:ind w:firstLine="709" w:end="0"/>
        <w:jc w:val="both"/>
        <w:rPr>
          <w:color w:val="000000"/>
          <w:sz w:val="28"/>
          <w:szCs w:val="28"/>
          <w:shd w:fill="DDE8CB" w:val="clear"/>
        </w:rPr>
      </w:pPr>
      <w:r>
        <w:rPr>
          <w:sz w:val="28"/>
          <w:szCs w:val="28"/>
          <w:shd w:fill="auto" w:val="clear"/>
        </w:rPr>
        <w:t>Распределение ма</w:t>
      </w:r>
      <w:r>
        <w:rPr>
          <w:sz w:val="28"/>
          <w:szCs w:val="28"/>
        </w:rPr>
        <w:t xml:space="preserve">лого и среднего предпринимательства по видам экономической деятельности в последние годы на территории Вилючинского городского округа остается неизменным. Наиболее привлекательной для СМСП по-прежнему является непроизводственная сфера, прежде всего розничная торговля. Это связано со скоростью окупаемости вложенных средств, которая максимальна именно в этой сфере деятельности. </w:t>
      </w:r>
    </w:p>
    <w:p>
      <w:pPr>
        <w:pStyle w:val="Normal"/>
        <w:shd w:fill="FFFFFF" w:val="clear"/>
        <w:autoSpaceDE w:val="false"/>
        <w:ind w:firstLine="709" w:end="0"/>
        <w:jc w:val="both"/>
        <w:rPr/>
      </w:pPr>
      <w:r>
        <w:rPr>
          <w:color w:val="000000"/>
          <w:sz w:val="28"/>
          <w:szCs w:val="28"/>
          <w:shd w:fill="auto" w:val="clear"/>
        </w:rPr>
        <w:t>Оборот розничной торговли в 20</w:t>
      </w:r>
      <w:r>
        <w:rPr>
          <w:color w:val="000000"/>
          <w:sz w:val="28"/>
          <w:szCs w:val="28"/>
          <w:shd w:fill="auto" w:val="clear"/>
        </w:rPr>
        <w:t>23</w:t>
      </w:r>
      <w:r>
        <w:rPr>
          <w:color w:val="000000"/>
          <w:sz w:val="28"/>
          <w:szCs w:val="28"/>
          <w:shd w:fill="auto" w:val="clear"/>
        </w:rPr>
        <w:t xml:space="preserve"> году составил </w:t>
      </w:r>
      <w:r>
        <w:rPr>
          <w:color w:val="000000"/>
          <w:sz w:val="28"/>
          <w:szCs w:val="28"/>
          <w:shd w:fill="auto" w:val="clear"/>
        </w:rPr>
        <w:t>698,0</w:t>
      </w:r>
      <w:r>
        <w:rPr>
          <w:color w:val="000000"/>
          <w:sz w:val="28"/>
          <w:szCs w:val="28"/>
          <w:shd w:fill="auto" w:val="clear"/>
        </w:rPr>
        <w:t xml:space="preserve"> млн. рублей, в 202</w:t>
      </w:r>
      <w:r>
        <w:rPr>
          <w:color w:val="000000"/>
          <w:sz w:val="28"/>
          <w:szCs w:val="28"/>
          <w:shd w:fill="auto" w:val="clear"/>
        </w:rPr>
        <w:t>4</w:t>
      </w:r>
      <w:r>
        <w:rPr>
          <w:color w:val="000000"/>
          <w:sz w:val="28"/>
          <w:szCs w:val="28"/>
          <w:shd w:fill="auto" w:val="clear"/>
        </w:rPr>
        <w:t xml:space="preserve"> году – </w:t>
      </w:r>
      <w:r>
        <w:rPr>
          <w:color w:val="000000"/>
          <w:sz w:val="28"/>
          <w:szCs w:val="28"/>
          <w:shd w:fill="auto" w:val="clear"/>
        </w:rPr>
        <w:t>838,8</w:t>
      </w:r>
      <w:r>
        <w:rPr>
          <w:color w:val="000000"/>
          <w:sz w:val="28"/>
          <w:szCs w:val="28"/>
          <w:shd w:fill="auto" w:val="clear"/>
        </w:rPr>
        <w:t xml:space="preserve"> млн. рублей. </w:t>
      </w:r>
      <w:r>
        <w:rPr>
          <w:sz w:val="28"/>
          <w:szCs w:val="28"/>
        </w:rPr>
        <w:t xml:space="preserve">На активность развития торговли и оказания услуг населению в Вилючинском городском округе всегда оказывало влияние приобретение товаров и услуг вне территории городского округа, транспортная доступность, более широкий рынок предложений краевого центра. </w:t>
      </w:r>
    </w:p>
    <w:p>
      <w:pPr>
        <w:pStyle w:val="Normal"/>
        <w:autoSpaceDE w:val="false"/>
        <w:ind w:firstLine="709" w:end="0"/>
        <w:jc w:val="both"/>
        <w:rPr>
          <w:sz w:val="28"/>
          <w:szCs w:val="28"/>
        </w:rPr>
      </w:pPr>
      <w:r>
        <w:rPr>
          <w:sz w:val="28"/>
          <w:szCs w:val="28"/>
        </w:rPr>
        <w:t xml:space="preserve">С учетом уровня развития малого и среднего предпринимательства в производственной и социальной сферах, сфере оптовой и розничной торговли, а также в бытовом обслуживании населения приоритетными сферами развития малого и среднего предпринимательства в рамках Программы являются производственная сфера, социально значимые отрасли (образование, здравоохранение, физическая культура, спорт), общественное питание, предоставление бытовых услуг населению. </w:t>
      </w:r>
    </w:p>
    <w:p>
      <w:pPr>
        <w:pStyle w:val="Normal"/>
        <w:autoSpaceDE w:val="false"/>
        <w:ind w:firstLine="709" w:end="0"/>
        <w:jc w:val="both"/>
        <w:rPr>
          <w:sz w:val="28"/>
          <w:szCs w:val="28"/>
        </w:rPr>
      </w:pPr>
      <w:r>
        <w:rPr>
          <w:sz w:val="28"/>
          <w:szCs w:val="28"/>
        </w:rPr>
        <w:t>Среди проблем в сфере ведения малого и среднего бизнеса Вилючинского городского округа можно выделить следующие:</w:t>
      </w:r>
    </w:p>
    <w:p>
      <w:pPr>
        <w:pStyle w:val="Normal"/>
        <w:autoSpaceDE w:val="false"/>
        <w:ind w:firstLine="709" w:end="0"/>
        <w:jc w:val="both"/>
        <w:rPr>
          <w:sz w:val="28"/>
          <w:szCs w:val="28"/>
        </w:rPr>
      </w:pPr>
      <w:r>
        <w:rPr>
          <w:sz w:val="28"/>
          <w:szCs w:val="28"/>
        </w:rPr>
        <w:t>- дефицит производственных и офисных площадей, пригодных и доступных для ведения бизнеса;</w:t>
      </w:r>
    </w:p>
    <w:p>
      <w:pPr>
        <w:pStyle w:val="Normal"/>
        <w:autoSpaceDE w:val="false"/>
        <w:ind w:firstLine="709" w:end="0"/>
        <w:jc w:val="both"/>
        <w:rPr>
          <w:sz w:val="28"/>
          <w:szCs w:val="28"/>
        </w:rPr>
      </w:pPr>
      <w:r>
        <w:rPr>
          <w:sz w:val="28"/>
          <w:szCs w:val="28"/>
        </w:rPr>
        <w:t>- особенности пропускного режима в ЗАТО г. Вилючинск Камчатского края;</w:t>
      </w:r>
    </w:p>
    <w:p>
      <w:pPr>
        <w:pStyle w:val="Normal"/>
        <w:autoSpaceDE w:val="false"/>
        <w:ind w:firstLine="709" w:end="0"/>
        <w:jc w:val="both"/>
        <w:rPr>
          <w:sz w:val="28"/>
          <w:szCs w:val="28"/>
        </w:rPr>
      </w:pPr>
      <w:r>
        <w:rPr>
          <w:sz w:val="28"/>
          <w:szCs w:val="28"/>
        </w:rPr>
        <w:t>- отсутствие полной и достоверной информации о показателях хозяйственной деятельности малого и среднего предпринимательства на территории, по которой можно было бы судить о тенденциях развития малого и среднего предпринимательства на территории Вилючинского городского округа;</w:t>
      </w:r>
    </w:p>
    <w:p>
      <w:pPr>
        <w:pStyle w:val="Normal"/>
        <w:autoSpaceDE w:val="false"/>
        <w:ind w:firstLine="709" w:end="0"/>
        <w:jc w:val="both"/>
        <w:rPr>
          <w:sz w:val="28"/>
          <w:szCs w:val="28"/>
        </w:rPr>
      </w:pPr>
      <w:r>
        <w:rPr>
          <w:sz w:val="28"/>
          <w:szCs w:val="28"/>
        </w:rPr>
        <w:t>- дефицит профессиональных и квалифицированных кадров;</w:t>
      </w:r>
    </w:p>
    <w:p>
      <w:pPr>
        <w:pStyle w:val="Normal"/>
        <w:autoSpaceDE w:val="false"/>
        <w:ind w:firstLine="709" w:end="0"/>
        <w:jc w:val="both"/>
        <w:rPr>
          <w:sz w:val="28"/>
          <w:szCs w:val="28"/>
        </w:rPr>
      </w:pPr>
      <w:r>
        <w:rPr>
          <w:sz w:val="28"/>
          <w:szCs w:val="28"/>
        </w:rPr>
        <w:t>- недостаток собственных финансовых средств;</w:t>
      </w:r>
    </w:p>
    <w:p>
      <w:pPr>
        <w:pStyle w:val="Normal"/>
        <w:autoSpaceDE w:val="false"/>
        <w:ind w:firstLine="709" w:end="0"/>
        <w:jc w:val="both"/>
        <w:rPr>
          <w:sz w:val="28"/>
          <w:szCs w:val="28"/>
        </w:rPr>
      </w:pPr>
      <w:r>
        <w:rPr>
          <w:sz w:val="28"/>
          <w:szCs w:val="28"/>
        </w:rPr>
        <w:t>- низкая инновационная активность у СМСП Вилючинского городского округа.</w:t>
      </w:r>
    </w:p>
    <w:p>
      <w:pPr>
        <w:pStyle w:val="Normal"/>
        <w:ind w:firstLine="851" w:end="-1"/>
        <w:jc w:val="both"/>
        <w:rPr/>
      </w:pPr>
      <w:r>
        <w:rPr>
          <w:sz w:val="28"/>
          <w:szCs w:val="28"/>
        </w:rPr>
        <w:t xml:space="preserve">Проблемы решаются совместными усилиями СМСП и органов власти всех уровней. Для этих целей администрацией Вилючинского городского округа осуществляется деятельность по поддержке предпринимательства с использованием предусмотренных законодательством форм, методов, инструментов, механизмов поддержки, в первую очередь – путем реализации муниципальных программ, формирование и осуществление которых в соответствии со </w:t>
      </w:r>
      <w:hyperlink r:id="rId3">
        <w:r>
          <w:rPr>
            <w:rStyle w:val="Hyperlink"/>
            <w:color w:val="000000"/>
            <w:sz w:val="28"/>
            <w:szCs w:val="28"/>
            <w:u w:val="none"/>
          </w:rPr>
          <w:t>статьей 11</w:t>
        </w:r>
      </w:hyperlink>
      <w:r>
        <w:rPr>
          <w:sz w:val="28"/>
          <w:szCs w:val="28"/>
        </w:rPr>
        <w:t xml:space="preserve"> Федерального закона от 24.07.2007 </w:t>
        <w:br/>
        <w:t>№ 209-ФЗ «О развитии малого и среднего предпринимательства в Российской Федерации» относится к полномочиям органов местного самоуправления по вопросам развития малого и среднего предпринимательства. В рамках Подпрограммы 2 осуществляется координация и взаимное согласование мероприятий, реализуемых по различным направлениям деятельности.</w:t>
      </w:r>
    </w:p>
    <w:p>
      <w:pPr>
        <w:pStyle w:val="Normal"/>
        <w:ind w:firstLine="851" w:end="-1"/>
        <w:jc w:val="both"/>
        <w:rPr>
          <w:sz w:val="28"/>
          <w:szCs w:val="28"/>
        </w:rPr>
      </w:pPr>
      <w:r>
        <w:rPr>
          <w:sz w:val="28"/>
          <w:szCs w:val="28"/>
        </w:rPr>
      </w:r>
    </w:p>
    <w:p>
      <w:pPr>
        <w:pStyle w:val="Normal"/>
        <w:ind w:start="57" w:end="425"/>
        <w:jc w:val="center"/>
        <w:rPr>
          <w:b/>
          <w:sz w:val="28"/>
          <w:szCs w:val="28"/>
        </w:rPr>
      </w:pPr>
      <w:r>
        <w:rPr>
          <w:rFonts w:eastAsia="Calibri"/>
          <w:b/>
          <w:sz w:val="28"/>
          <w:szCs w:val="28"/>
          <w:lang w:eastAsia="en-US"/>
        </w:rPr>
        <w:t xml:space="preserve">2. Основные цели, задачи и основные мероприятия </w:t>
      </w:r>
    </w:p>
    <w:p>
      <w:pPr>
        <w:pStyle w:val="Normal"/>
        <w:widowControl w:val="false"/>
        <w:autoSpaceDE w:val="false"/>
        <w:spacing w:before="0" w:after="0"/>
        <w:ind w:firstLine="652" w:start="57" w:end="425"/>
        <w:contextualSpacing/>
        <w:jc w:val="center"/>
        <w:rPr>
          <w:sz w:val="28"/>
          <w:szCs w:val="28"/>
        </w:rPr>
      </w:pPr>
      <w:r>
        <w:rPr>
          <w:b/>
          <w:sz w:val="28"/>
          <w:szCs w:val="28"/>
        </w:rPr>
        <w:t>Подпрограммы 2</w:t>
      </w:r>
    </w:p>
    <w:p>
      <w:pPr>
        <w:pStyle w:val="Normal"/>
        <w:widowControl w:val="false"/>
        <w:autoSpaceDE w:val="false"/>
        <w:ind w:firstLine="652" w:end="-1"/>
        <w:jc w:val="both"/>
        <w:rPr>
          <w:sz w:val="28"/>
          <w:szCs w:val="28"/>
        </w:rPr>
      </w:pPr>
      <w:r>
        <w:rPr>
          <w:sz w:val="28"/>
          <w:szCs w:val="28"/>
        </w:rPr>
        <w:t>Основные цели – поддержка малого и среднего предпринимательства, создание благоприятных условий для осуществления СМСП и самозанятыми в Вилючинском городском округе предпринимательской деятельности. Увеличение предпринимательской активности на территории Вилючинского городского округа, направленной на повышение качества и конкурентоспособности продукции (услуг), производимой (оказываемых) СМСП и самозанятыми Вилючинского городского округа. Создание дополнительных рабочих мест.</w:t>
      </w:r>
    </w:p>
    <w:p>
      <w:pPr>
        <w:pStyle w:val="Normal"/>
        <w:widowControl w:val="false"/>
        <w:autoSpaceDE w:val="false"/>
        <w:ind w:firstLine="709" w:end="-1"/>
        <w:jc w:val="both"/>
        <w:rPr>
          <w:sz w:val="28"/>
          <w:szCs w:val="28"/>
        </w:rPr>
      </w:pPr>
      <w:r>
        <w:rPr>
          <w:sz w:val="28"/>
          <w:szCs w:val="28"/>
        </w:rPr>
        <w:t>Для достижения основных целей необходимо решение следующих задач:</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увеличение доли участия СМСП и самозанятых в общем обороте хозяйствующих субъектов Вилючинского городского округа;</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развитие системы финансовой поддержки СМСП и самозанятых;</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формирование эффективной информационной системы для СМСП и самозанятых;</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совершенствование правовой поддержки СМСП и самозанятых;</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популяризация предпринимательства;</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развитие хлебопекарного производства;</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создание условий для развития ярмарочной торговли и сбыта продукции сельскохозяйственных товаропроизводителей.</w:t>
      </w:r>
    </w:p>
    <w:p>
      <w:pPr>
        <w:pStyle w:val="Normal"/>
        <w:widowControl w:val="false"/>
        <w:numPr>
          <w:ilvl w:val="0"/>
          <w:numId w:val="3"/>
        </w:numPr>
        <w:tabs>
          <w:tab w:val="clear" w:pos="708"/>
          <w:tab w:val="left" w:pos="1134" w:leader="none"/>
        </w:tabs>
        <w:autoSpaceDE w:val="false"/>
        <w:ind w:firstLine="709" w:start="0" w:end="-1"/>
        <w:jc w:val="both"/>
        <w:rPr>
          <w:sz w:val="28"/>
          <w:szCs w:val="28"/>
        </w:rPr>
      </w:pPr>
      <w:r>
        <w:rPr>
          <w:sz w:val="28"/>
          <w:szCs w:val="28"/>
        </w:rPr>
        <w:t>создание условий для сбыта продукции российских производителей, развитие малоформатной торговли.</w:t>
      </w:r>
    </w:p>
    <w:p>
      <w:pPr>
        <w:pStyle w:val="Normal"/>
        <w:widowControl w:val="false"/>
        <w:autoSpaceDE w:val="false"/>
        <w:ind w:firstLine="709" w:end="-1"/>
        <w:jc w:val="both"/>
        <w:rPr>
          <w:sz w:val="28"/>
          <w:szCs w:val="28"/>
        </w:rPr>
      </w:pPr>
      <w:r>
        <w:rPr>
          <w:sz w:val="28"/>
          <w:szCs w:val="28"/>
        </w:rPr>
        <w:t xml:space="preserve">Важным моментом для достижения целей поддержки и развития малого и среднего предпринимательства является система прямых и обратных связей между субъектами предпринимательства и структурами публичной власти, предоставляющими им различные формы поддержки. </w:t>
      </w:r>
    </w:p>
    <w:p>
      <w:pPr>
        <w:pStyle w:val="Normal"/>
        <w:widowControl w:val="false"/>
        <w:autoSpaceDE w:val="false"/>
        <w:ind w:firstLine="709" w:end="-1"/>
        <w:jc w:val="both"/>
        <w:rPr>
          <w:sz w:val="28"/>
          <w:szCs w:val="28"/>
        </w:rPr>
      </w:pPr>
      <w:r>
        <w:rPr>
          <w:sz w:val="28"/>
          <w:szCs w:val="28"/>
        </w:rPr>
        <w:t>Задачи будут решаться путем реализации следующих основных мероприятий:</w:t>
      </w:r>
    </w:p>
    <w:p>
      <w:pPr>
        <w:pStyle w:val="Normal"/>
        <w:widowControl w:val="false"/>
        <w:autoSpaceDE w:val="false"/>
        <w:ind w:firstLine="709" w:end="-1"/>
        <w:jc w:val="both"/>
        <w:rPr>
          <w:sz w:val="28"/>
          <w:szCs w:val="28"/>
        </w:rPr>
      </w:pPr>
      <w:r>
        <w:rPr>
          <w:sz w:val="28"/>
          <w:szCs w:val="28"/>
        </w:rPr>
        <w:t>1) «Информационная и консультационная поддержка СМСП и самозанятых».</w:t>
      </w:r>
    </w:p>
    <w:p>
      <w:pPr>
        <w:pStyle w:val="Normal"/>
        <w:widowControl w:val="false"/>
        <w:autoSpaceDE w:val="false"/>
        <w:ind w:firstLine="709" w:end="-1"/>
        <w:jc w:val="both"/>
        <w:rPr>
          <w:sz w:val="28"/>
          <w:szCs w:val="28"/>
        </w:rPr>
      </w:pPr>
      <w:r>
        <w:rPr>
          <w:sz w:val="28"/>
          <w:szCs w:val="28"/>
        </w:rPr>
        <w:t>В рамках реализации данного направления планируются:</w:t>
      </w:r>
    </w:p>
    <w:p>
      <w:pPr>
        <w:pStyle w:val="Normal"/>
        <w:widowControl w:val="false"/>
        <w:autoSpaceDE w:val="false"/>
        <w:ind w:firstLine="709" w:end="-1"/>
        <w:jc w:val="both"/>
        <w:rPr>
          <w:sz w:val="28"/>
          <w:szCs w:val="28"/>
        </w:rPr>
      </w:pPr>
      <w:r>
        <w:rPr>
          <w:sz w:val="28"/>
          <w:szCs w:val="28"/>
        </w:rPr>
        <w:t xml:space="preserve">консультационная поддержка СМСП и самозанятых, способствующая эффективному развитию, повышению деловой активности и конкурентоспособности. В индивидуальном порядке будет проводиться работа с обратившимися СМСП и самозанятыми, будут даны рекомендации, оказана посильная помощь в проблемных вопросах;  </w:t>
      </w:r>
    </w:p>
    <w:p>
      <w:pPr>
        <w:pStyle w:val="Normal"/>
        <w:widowControl w:val="false"/>
        <w:autoSpaceDE w:val="false"/>
        <w:ind w:firstLine="709" w:end="-1"/>
        <w:jc w:val="both"/>
        <w:rPr>
          <w:sz w:val="28"/>
          <w:szCs w:val="28"/>
        </w:rPr>
      </w:pPr>
      <w:r>
        <w:rPr>
          <w:sz w:val="28"/>
          <w:szCs w:val="28"/>
        </w:rPr>
        <w:t xml:space="preserve">информационная поддержка будет реализовываться путем размещения актуальной информации, способствующей ведению предпринимательской деятельности, в том числе о мероприятиях реализации Подпрограммы 2, мерах муниципальной поддержки СМСП и самозанятых на официальном сайте органов местного самоуправления Вилючинского городского округа в информационно-телекоммуникационной сети «Интернет», а также обеспечения СМСП и самозанятых справочно-информационными материалами по вопросам ведения предпринимательской деятельности. Информирование и просвещение населения Вилючинского городского округа о вопросах развития предпринимательства, о ходе реализации Подпрограммы 2 и Программы в целом, о проводимых мероприятиях с помощью  средств массовой информации будет осуществляться в целях формирования правильного отношения населения к ведению предпринимательства; </w:t>
      </w:r>
    </w:p>
    <w:p>
      <w:pPr>
        <w:pStyle w:val="Normal"/>
        <w:widowControl w:val="false"/>
        <w:autoSpaceDE w:val="false"/>
        <w:ind w:firstLine="709" w:end="-1"/>
        <w:jc w:val="both"/>
        <w:rPr>
          <w:sz w:val="28"/>
          <w:szCs w:val="28"/>
        </w:rPr>
      </w:pPr>
      <w:r>
        <w:rPr>
          <w:sz w:val="28"/>
          <w:szCs w:val="28"/>
        </w:rPr>
        <w:t>2) «Финансовая поддержка деятельности СМСП и самозанятых».</w:t>
      </w:r>
    </w:p>
    <w:p>
      <w:pPr>
        <w:pStyle w:val="Normal"/>
        <w:widowControl w:val="false"/>
        <w:autoSpaceDE w:val="false"/>
        <w:ind w:firstLine="709" w:end="-1"/>
        <w:jc w:val="both"/>
        <w:rPr>
          <w:sz w:val="28"/>
          <w:szCs w:val="28"/>
        </w:rPr>
      </w:pPr>
      <w:r>
        <w:rPr>
          <w:sz w:val="28"/>
          <w:szCs w:val="28"/>
        </w:rPr>
        <w:t>Реализация данного мероприятия включает предоставление субсидий (грантов) СМСП и самозанятым на финансовое обеспечение затрат при создании собственного бизнеса. Финансовая поддержка будет предоставляться СМСП и самозанятым, зарегистрированным и действующим менее 2 (двух) лет в сферах, приоритетных для социально-экономического развития Вилючинского городского округа. Это даст возможность поддержать предпринимательскую инициативу начинающих предпринимателей, позволит приобрести основные средства, сырье, комплектующие и иные ресурсы, необходимые для развития собственного производства.</w:t>
      </w:r>
    </w:p>
    <w:p>
      <w:pPr>
        <w:pStyle w:val="Normal"/>
        <w:widowControl w:val="false"/>
        <w:autoSpaceDE w:val="false"/>
        <w:ind w:firstLine="709" w:end="-1"/>
        <w:jc w:val="both"/>
        <w:rPr>
          <w:sz w:val="28"/>
          <w:szCs w:val="28"/>
        </w:rPr>
      </w:pPr>
      <w:r>
        <w:rPr>
          <w:sz w:val="28"/>
          <w:szCs w:val="28"/>
        </w:rPr>
        <w:t>Субсидии (гранты) будут предоставляться в порядке, утвержденном постановлением администрации Вилючинского городского округа, СМСП, соответствующим критериям, установленным Федеральным законом от 24.07.2007 № 209-ФЗ «О развитии малого и среднего предпринимательства в Российской Федерации» (за исключением СМСП, указанных в частях 3 и 4 статьи 14 указанного Федерального закона);</w:t>
      </w:r>
    </w:p>
    <w:p>
      <w:pPr>
        <w:pStyle w:val="Normal"/>
        <w:widowControl w:val="false"/>
        <w:autoSpaceDE w:val="false"/>
        <w:ind w:firstLine="709" w:end="-1"/>
        <w:jc w:val="both"/>
        <w:rPr>
          <w:sz w:val="28"/>
          <w:szCs w:val="28"/>
        </w:rPr>
      </w:pPr>
      <w:r>
        <w:rPr>
          <w:sz w:val="28"/>
          <w:szCs w:val="28"/>
        </w:rPr>
        <w:t>3) «Создание общественной (социальной) среды, благоприятной для развития бизнеса».</w:t>
      </w:r>
    </w:p>
    <w:p>
      <w:pPr>
        <w:pStyle w:val="Normal"/>
        <w:widowControl w:val="false"/>
        <w:autoSpaceDE w:val="false"/>
        <w:ind w:firstLine="709" w:end="-1"/>
        <w:jc w:val="both"/>
        <w:rPr>
          <w:sz w:val="28"/>
          <w:szCs w:val="28"/>
        </w:rPr>
      </w:pPr>
      <w:r>
        <w:rPr>
          <w:sz w:val="28"/>
          <w:szCs w:val="28"/>
        </w:rPr>
        <w:t>Реализация данного направления предусматривает:</w:t>
      </w:r>
    </w:p>
    <w:p>
      <w:pPr>
        <w:pStyle w:val="Normal"/>
        <w:widowControl w:val="false"/>
        <w:autoSpaceDE w:val="false"/>
        <w:ind w:firstLine="709" w:end="-1"/>
        <w:jc w:val="both"/>
        <w:rPr>
          <w:sz w:val="28"/>
          <w:szCs w:val="28"/>
        </w:rPr>
      </w:pPr>
      <w:r>
        <w:rPr>
          <w:sz w:val="28"/>
          <w:szCs w:val="28"/>
        </w:rPr>
        <w:t>проведение городских конкурсов среди СМСП с целью популяризации предпринимательской деятельности, формирования положительного имиджа и повышения социального статуса предпринимателей Вилючинского городского округа, выявление и поощрение лучших СМСП, участвующих в развитии Вилючинского городского округа, а также совершенствование взаимодействия между администрацией Вилючинского городского округа и СМСП;</w:t>
      </w:r>
    </w:p>
    <w:p>
      <w:pPr>
        <w:pStyle w:val="Normal"/>
        <w:widowControl w:val="false"/>
        <w:autoSpaceDE w:val="false"/>
        <w:ind w:firstLine="709" w:end="-1"/>
        <w:jc w:val="both"/>
        <w:rPr>
          <w:sz w:val="28"/>
          <w:szCs w:val="28"/>
        </w:rPr>
      </w:pPr>
      <w:r>
        <w:rPr>
          <w:sz w:val="28"/>
          <w:szCs w:val="28"/>
        </w:rPr>
        <w:t xml:space="preserve">осуществление деятельности координационного совета по развитию малого и среднего предпринимательства Вилючинского городского округа, заседания которого регулярно проводятся в целях взаимодействия между администрацией Вилючинского городского округа и предпринимательским сообществом, решения насущных проблем в сфере предпринимательской деятельности, рассмотрения вопросов развития конкуренции, улучшения инвестиционного климата на территории Вилючинского городского округа. </w:t>
      </w:r>
    </w:p>
    <w:p>
      <w:pPr>
        <w:pStyle w:val="Normal"/>
        <w:widowControl w:val="false"/>
        <w:autoSpaceDE w:val="false"/>
        <w:ind w:firstLine="709" w:end="-1"/>
        <w:jc w:val="both"/>
        <w:rPr>
          <w:sz w:val="28"/>
          <w:szCs w:val="28"/>
        </w:rPr>
      </w:pPr>
      <w:r>
        <w:rPr>
          <w:sz w:val="28"/>
          <w:szCs w:val="28"/>
        </w:rPr>
        <w:t xml:space="preserve">организацию и проведение общегородских ярмарок-выставок на территории Вилючинского городского округа; </w:t>
      </w:r>
    </w:p>
    <w:p>
      <w:pPr>
        <w:pStyle w:val="Normal"/>
        <w:widowControl w:val="false"/>
        <w:autoSpaceDE w:val="false"/>
        <w:ind w:firstLine="709" w:end="-1"/>
        <w:jc w:val="both"/>
        <w:rPr>
          <w:sz w:val="28"/>
          <w:szCs w:val="28"/>
        </w:rPr>
      </w:pPr>
      <w:r>
        <w:rPr>
          <w:sz w:val="28"/>
          <w:szCs w:val="28"/>
        </w:rPr>
        <w:t>4) «Правовое, организационное и аналитическое обеспечение деятельности СМСП и самозанятых».</w:t>
      </w:r>
    </w:p>
    <w:p>
      <w:pPr>
        <w:pStyle w:val="Normal"/>
        <w:widowControl w:val="false"/>
        <w:autoSpaceDE w:val="false"/>
        <w:ind w:firstLine="709" w:end="-1"/>
        <w:jc w:val="both"/>
        <w:rPr>
          <w:sz w:val="28"/>
          <w:szCs w:val="28"/>
        </w:rPr>
      </w:pPr>
      <w:r>
        <w:rPr>
          <w:sz w:val="28"/>
          <w:szCs w:val="28"/>
        </w:rPr>
        <w:t>В рамках реализации данного направления планируется:</w:t>
      </w:r>
    </w:p>
    <w:p>
      <w:pPr>
        <w:pStyle w:val="Normal"/>
        <w:widowControl w:val="false"/>
        <w:autoSpaceDE w:val="false"/>
        <w:ind w:firstLine="709" w:end="-1"/>
        <w:jc w:val="both"/>
        <w:rPr>
          <w:sz w:val="28"/>
          <w:szCs w:val="28"/>
        </w:rPr>
      </w:pPr>
      <w:r>
        <w:rPr>
          <w:sz w:val="28"/>
          <w:szCs w:val="28"/>
        </w:rPr>
        <w:t>проведение мониторинга и анализ показателей развития малого предпринимательства;</w:t>
      </w:r>
    </w:p>
    <w:p>
      <w:pPr>
        <w:pStyle w:val="Normal"/>
        <w:widowControl w:val="false"/>
        <w:autoSpaceDE w:val="false"/>
        <w:ind w:firstLine="709" w:end="-1"/>
        <w:jc w:val="both"/>
        <w:rPr>
          <w:sz w:val="28"/>
          <w:szCs w:val="28"/>
        </w:rPr>
      </w:pPr>
      <w:r>
        <w:rPr>
          <w:sz w:val="28"/>
          <w:szCs w:val="28"/>
        </w:rPr>
        <w:t>разработка нормативных правовых актов Вилючинского городского округа, стимулирующих развитие предпринимательской деятельности на территории городского округа;</w:t>
      </w:r>
    </w:p>
    <w:p>
      <w:pPr>
        <w:pStyle w:val="Normal"/>
        <w:widowControl w:val="false"/>
        <w:autoSpaceDE w:val="false"/>
        <w:ind w:firstLine="709" w:end="-1"/>
        <w:jc w:val="both"/>
        <w:rPr>
          <w:sz w:val="28"/>
          <w:szCs w:val="28"/>
        </w:rPr>
      </w:pPr>
      <w:r>
        <w:rPr>
          <w:sz w:val="28"/>
          <w:szCs w:val="28"/>
        </w:rPr>
        <w:t>5) «Развитие хлебопекарного производства на территории Вилючинского городского округа».</w:t>
      </w:r>
    </w:p>
    <w:p>
      <w:pPr>
        <w:pStyle w:val="Normal"/>
        <w:widowControl w:val="false"/>
        <w:autoSpaceDE w:val="false"/>
        <w:ind w:firstLine="709" w:end="-1"/>
        <w:jc w:val="both"/>
        <w:rPr>
          <w:sz w:val="28"/>
          <w:szCs w:val="28"/>
        </w:rPr>
      </w:pPr>
      <w:r>
        <w:rPr>
          <w:sz w:val="28"/>
          <w:szCs w:val="28"/>
        </w:rPr>
        <w:t>В рамках реализации данного направления планируется:</w:t>
      </w:r>
    </w:p>
    <w:p>
      <w:pPr>
        <w:pStyle w:val="Normal"/>
        <w:widowControl w:val="false"/>
        <w:autoSpaceDE w:val="false"/>
        <w:ind w:firstLine="709" w:end="-1"/>
        <w:jc w:val="both"/>
        <w:rPr>
          <w:sz w:val="28"/>
          <w:szCs w:val="28"/>
        </w:rPr>
      </w:pPr>
      <w:r>
        <w:rPr>
          <w:sz w:val="28"/>
          <w:szCs w:val="28"/>
        </w:rPr>
        <w:t xml:space="preserve">предоставление субсидий (грантов) СМСП в целях развития хлебопекарного производства на территории Вилючинского городского округа. Планируется создание благоприятных условий для развития хлебопекарного производства на территории Вилючинского городского округа: обеспечение стабильной работы предприятий занимающихся производством хлеба и хлебобулочных изделий, увеличение объемов производства, расширение ассортимента и улучшение качества хлеба и хлебобулочных изделий. </w:t>
      </w:r>
    </w:p>
    <w:p>
      <w:pPr>
        <w:pStyle w:val="Normal"/>
        <w:widowControl w:val="false"/>
        <w:autoSpaceDE w:val="false"/>
        <w:ind w:firstLine="709" w:end="-1"/>
        <w:jc w:val="both"/>
        <w:rPr>
          <w:sz w:val="28"/>
          <w:szCs w:val="28"/>
        </w:rPr>
      </w:pPr>
      <w:r>
        <w:rPr>
          <w:sz w:val="28"/>
          <w:szCs w:val="28"/>
        </w:rPr>
        <w:t>Порядок предоставления субсидий (грантов) СМСП, осуществляющим деятельность в Вилючинском городском округе и специализирующимся на производстве хлеба и хлебобулочной продукции, утверждается постановлением администрации Вилючинского городского округа;</w:t>
      </w:r>
    </w:p>
    <w:p>
      <w:pPr>
        <w:pStyle w:val="Normal"/>
        <w:widowControl w:val="false"/>
        <w:autoSpaceDE w:val="false"/>
        <w:ind w:firstLine="709" w:end="-1"/>
        <w:jc w:val="both"/>
        <w:rPr>
          <w:sz w:val="28"/>
          <w:szCs w:val="28"/>
        </w:rPr>
      </w:pPr>
      <w:r>
        <w:rPr>
          <w:sz w:val="28"/>
          <w:szCs w:val="28"/>
        </w:rPr>
        <w:t>6) «Удовлетворенность потребности населения в продукции местных товаропроизводителей».</w:t>
      </w:r>
    </w:p>
    <w:p>
      <w:pPr>
        <w:pStyle w:val="Normal"/>
        <w:widowControl w:val="false"/>
        <w:autoSpaceDE w:val="false"/>
        <w:ind w:firstLine="709" w:end="-1"/>
        <w:jc w:val="both"/>
        <w:rPr>
          <w:sz w:val="28"/>
          <w:szCs w:val="28"/>
        </w:rPr>
      </w:pPr>
      <w:r>
        <w:rPr>
          <w:sz w:val="28"/>
          <w:szCs w:val="28"/>
        </w:rPr>
        <w:t>В рамках реализации данного направления планируется создание условий по обеспечению доступности товаров Камчатских производителей жителям Вилючинского городского округа;</w:t>
      </w:r>
    </w:p>
    <w:p>
      <w:pPr>
        <w:pStyle w:val="Normal"/>
        <w:widowControl w:val="false"/>
        <w:autoSpaceDE w:val="false"/>
        <w:ind w:firstLine="709" w:end="-1"/>
        <w:jc w:val="both"/>
        <w:rPr>
          <w:sz w:val="28"/>
          <w:szCs w:val="28"/>
        </w:rPr>
      </w:pPr>
      <w:r>
        <w:rPr>
          <w:sz w:val="28"/>
          <w:szCs w:val="28"/>
        </w:rPr>
        <w:t>7) «Создание условий для развития ярмарочной торговли и сбыта продукции сельскохозяйственных товаропроизводителей».</w:t>
      </w:r>
    </w:p>
    <w:p>
      <w:pPr>
        <w:pStyle w:val="Normal"/>
        <w:widowControl w:val="false"/>
        <w:autoSpaceDE w:val="false"/>
        <w:ind w:firstLine="709" w:end="-1"/>
        <w:jc w:val="both"/>
        <w:rPr>
          <w:sz w:val="28"/>
          <w:szCs w:val="28"/>
        </w:rPr>
      </w:pPr>
      <w:r>
        <w:rPr>
          <w:sz w:val="28"/>
          <w:szCs w:val="28"/>
        </w:rPr>
        <w:t>При реализации данного меропрития планируется приобретение оборудования для осуществления торговой деятельности при организации ярмарок на территории Вилючинского городского округа;</w:t>
      </w:r>
    </w:p>
    <w:p>
      <w:pPr>
        <w:pStyle w:val="Normal"/>
        <w:widowControl w:val="false"/>
        <w:autoSpaceDE w:val="false"/>
        <w:ind w:firstLine="709" w:end="-1"/>
        <w:jc w:val="both"/>
        <w:rPr>
          <w:sz w:val="28"/>
          <w:szCs w:val="28"/>
        </w:rPr>
      </w:pPr>
      <w:r>
        <w:rPr>
          <w:sz w:val="28"/>
          <w:szCs w:val="28"/>
        </w:rPr>
        <w:t>8) «Создание условий для сбыта продукции российских товаропроизводителей, развитие малоформатной торговли»</w:t>
      </w:r>
    </w:p>
    <w:p>
      <w:pPr>
        <w:pStyle w:val="Normal"/>
        <w:widowControl w:val="false"/>
        <w:autoSpaceDE w:val="false"/>
        <w:ind w:firstLine="709" w:end="-1"/>
        <w:jc w:val="both"/>
        <w:rPr>
          <w:rFonts w:eastAsia="Calibri"/>
          <w:b/>
          <w:sz w:val="28"/>
          <w:szCs w:val="28"/>
          <w:lang w:eastAsia="en-US"/>
        </w:rPr>
      </w:pPr>
      <w:r>
        <w:rPr>
          <w:sz w:val="28"/>
          <w:szCs w:val="28"/>
        </w:rPr>
        <w:t>Мероприятие позволит предоставлять производителям товаров (сельскохозяйственных и продовольственных товаров, в том числе фермерской продукции, текстиля, одежды, обуви и прочих) и организациям потребительской кооперации, которые являются СМСП, муниципальные преференции путем предоставления мест для размещения нестационарных и мобильных торговых объектов без проведения торгов (конкурсов, аукционов) на льготных условиях или на безвозмездной основе.</w:t>
      </w:r>
    </w:p>
    <w:p>
      <w:pPr>
        <w:pStyle w:val="Normal"/>
        <w:ind w:firstLine="709" w:start="360" w:end="0"/>
        <w:jc w:val="center"/>
        <w:rPr>
          <w:rFonts w:eastAsia="Calibri"/>
          <w:b/>
          <w:sz w:val="28"/>
          <w:szCs w:val="28"/>
          <w:lang w:eastAsia="en-US"/>
        </w:rPr>
      </w:pPr>
      <w:r>
        <w:rPr>
          <w:rFonts w:eastAsia="Calibri"/>
          <w:b/>
          <w:sz w:val="28"/>
          <w:szCs w:val="28"/>
          <w:lang w:eastAsia="en-US"/>
        </w:rPr>
      </w:r>
    </w:p>
    <w:p>
      <w:pPr>
        <w:pStyle w:val="Normal"/>
        <w:jc w:val="center"/>
        <w:rPr>
          <w:b/>
          <w:sz w:val="28"/>
          <w:szCs w:val="28"/>
        </w:rPr>
      </w:pPr>
      <w:r>
        <w:rPr>
          <w:rFonts w:eastAsia="Calibri"/>
          <w:b/>
          <w:sz w:val="28"/>
          <w:szCs w:val="28"/>
          <w:lang w:eastAsia="en-US"/>
        </w:rPr>
        <w:t xml:space="preserve">3. Перечень мероприятий Подпрограммы 2, сроки реализации, </w:t>
      </w:r>
    </w:p>
    <w:p>
      <w:pPr>
        <w:pStyle w:val="Normal"/>
        <w:ind w:start="720" w:end="0"/>
        <w:jc w:val="center"/>
        <w:rPr>
          <w:sz w:val="28"/>
          <w:szCs w:val="28"/>
        </w:rPr>
      </w:pPr>
      <w:r>
        <w:rPr>
          <w:b/>
          <w:sz w:val="28"/>
          <w:szCs w:val="28"/>
        </w:rPr>
        <w:t>объем и источники финансирования, главные распорядители (распорядители) Программы.</w:t>
      </w:r>
    </w:p>
    <w:p>
      <w:pPr>
        <w:pStyle w:val="Normal"/>
        <w:ind w:firstLine="708" w:end="-1"/>
        <w:jc w:val="both"/>
        <w:rPr>
          <w:sz w:val="28"/>
          <w:szCs w:val="28"/>
        </w:rPr>
      </w:pPr>
      <w:r>
        <w:rPr>
          <w:sz w:val="28"/>
          <w:szCs w:val="28"/>
        </w:rPr>
        <w:t xml:space="preserve">Перечень мероприятий и информация о сроках их реализации, объемах и источниках финансирования, главных распорядителях (распорядителях) средств Подпрограммы 2 приведены в приложении № 1 к Программе. </w:t>
      </w:r>
    </w:p>
    <w:p>
      <w:pPr>
        <w:pStyle w:val="Normal"/>
        <w:ind w:firstLine="708" w:end="-1"/>
        <w:jc w:val="both"/>
        <w:rPr>
          <w:sz w:val="28"/>
          <w:szCs w:val="28"/>
        </w:rPr>
      </w:pPr>
      <w:r>
        <w:rPr>
          <w:sz w:val="28"/>
          <w:szCs w:val="28"/>
        </w:rPr>
        <w:t>Срок реализации Подпрограммы 2 устанавливается на 2018 – 2029 годы.</w:t>
      </w:r>
    </w:p>
    <w:p>
      <w:pPr>
        <w:pStyle w:val="Normal"/>
        <w:ind w:start="1080" w:end="-1"/>
        <w:jc w:val="both"/>
        <w:rPr>
          <w:sz w:val="28"/>
          <w:szCs w:val="28"/>
        </w:rPr>
      </w:pPr>
      <w:r>
        <w:rPr>
          <w:sz w:val="28"/>
          <w:szCs w:val="28"/>
        </w:rPr>
      </w:r>
    </w:p>
    <w:p>
      <w:pPr>
        <w:pStyle w:val="Normal"/>
        <w:ind w:end="-1"/>
        <w:jc w:val="center"/>
        <w:rPr>
          <w:sz w:val="28"/>
          <w:szCs w:val="28"/>
        </w:rPr>
      </w:pPr>
      <w:r>
        <w:rPr>
          <w:b/>
          <w:sz w:val="28"/>
          <w:szCs w:val="28"/>
        </w:rPr>
        <w:t xml:space="preserve">4. Прогноз ожидаемых результатов реализации Подпрограммы 2 </w:t>
        <w:br/>
        <w:t>и критерии оценки эффективности ее реализации</w:t>
      </w:r>
    </w:p>
    <w:p>
      <w:pPr>
        <w:pStyle w:val="Normal"/>
        <w:ind w:firstLine="709" w:end="0"/>
        <w:jc w:val="both"/>
        <w:rPr>
          <w:b/>
          <w:sz w:val="28"/>
          <w:szCs w:val="28"/>
        </w:rPr>
      </w:pPr>
      <w:r>
        <w:rPr>
          <w:sz w:val="28"/>
          <w:szCs w:val="28"/>
        </w:rPr>
        <w:t xml:space="preserve">Ожидаемыми результатами реализации Подпрограммы 2 являются запланированные целевые показатели (индикаторы), представлены в Приложении № 2 к Программе. </w:t>
      </w:r>
    </w:p>
    <w:p>
      <w:pPr>
        <w:pStyle w:val="Normal"/>
        <w:jc w:val="center"/>
        <w:rPr>
          <w:b/>
          <w:sz w:val="28"/>
          <w:szCs w:val="28"/>
        </w:rPr>
      </w:pPr>
      <w:r>
        <w:rPr>
          <w:b/>
          <w:sz w:val="28"/>
          <w:szCs w:val="28"/>
        </w:rPr>
      </w:r>
    </w:p>
    <w:p>
      <w:pPr>
        <w:pStyle w:val="Normal"/>
        <w:jc w:val="center"/>
        <w:rPr>
          <w:b/>
          <w:sz w:val="28"/>
          <w:szCs w:val="28"/>
        </w:rPr>
      </w:pPr>
      <w:r>
        <w:rPr>
          <w:b/>
          <w:sz w:val="28"/>
          <w:szCs w:val="28"/>
        </w:rPr>
        <w:t xml:space="preserve">5. Организации реализации Подпрограммы 1. Контроль </w:t>
      </w:r>
    </w:p>
    <w:p>
      <w:pPr>
        <w:pStyle w:val="Normal"/>
        <w:jc w:val="center"/>
        <w:rPr>
          <w:sz w:val="28"/>
          <w:szCs w:val="28"/>
        </w:rPr>
      </w:pPr>
      <w:r>
        <w:rPr>
          <w:b/>
          <w:sz w:val="28"/>
          <w:szCs w:val="28"/>
        </w:rPr>
        <w:t>выполнения программных мероприятий</w:t>
      </w:r>
    </w:p>
    <w:p>
      <w:pPr>
        <w:pStyle w:val="Normal"/>
        <w:spacing w:before="0" w:after="0"/>
        <w:ind w:firstLine="851" w:end="0"/>
        <w:contextualSpacing/>
        <w:jc w:val="both"/>
        <w:rPr>
          <w:sz w:val="28"/>
          <w:szCs w:val="28"/>
        </w:rPr>
      </w:pPr>
      <w:r>
        <w:rPr>
          <w:sz w:val="28"/>
          <w:szCs w:val="28"/>
        </w:rPr>
        <w:t>Система организации реализации Подпрограммы 2 и контроля выполнения программных мероприятий соответствует Комплексной организации реализации Программы и контроля выполнения программных мероприятий по Программе в целом.</w:t>
      </w:r>
    </w:p>
    <w:sectPr>
      <w:headerReference w:type="default" r:id="rId4"/>
      <w:headerReference w:type="first" r:id="rId5"/>
      <w:type w:val="nextPage"/>
      <w:pgSz w:w="11906" w:h="16838"/>
      <w:pgMar w:left="1701" w:right="567" w:gutter="0" w:header="709" w:top="1134" w:footer="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family w:val="roman"/>
    <w:pitch w:val="variable"/>
  </w:font>
  <w:font w:name="Tahoma">
    <w:charset w:val="01"/>
    <w:family w:val="swiss"/>
    <w:pitch w:val="variable"/>
  </w:font>
  <w:font w:name="Open Sans">
    <w:charset w:val="01"/>
    <w:family w:val="swiss"/>
    <w:pitch w:val="variable"/>
  </w:font>
  <w:font w:name="Verdana">
    <w:charset w:val="01"/>
    <w:family w:val="swiss"/>
    <w:pitch w:val="variable"/>
  </w:font>
  <w:font w:name="Calibri">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25</w:t>
    </w:r>
    <w:r>
      <w:rPr/>
      <w:fldChar w:fldCharType="end"/>
    </w:r>
  </w:p>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suppressAutoHyphens w:val="true"/>
      <w:bidi w:val="0"/>
      <w:ind w:end="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start"/>
      <w:pPr>
        <w:tabs>
          <w:tab w:val="num" w:pos="0"/>
        </w:tabs>
        <w:ind w:start="0" w:hanging="0"/>
      </w:pPr>
    </w:lvl>
    <w:lvl w:ilvl="1">
      <w:start w:val="1"/>
      <w:pStyle w:val="Heading2"/>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
    <w:lvl w:ilvl="0">
      <w:start w:val="3"/>
      <w:numFmt w:val="decimal"/>
      <w:lvlText w:val="%1."/>
      <w:lvlJc w:val="start"/>
      <w:pPr>
        <w:tabs>
          <w:tab w:val="num" w:pos="0"/>
        </w:tabs>
        <w:ind w:start="1069" w:hanging="360"/>
      </w:pPr>
    </w:lvl>
  </w:abstractNum>
  <w:abstractNum w:abstractNumId="3">
    <w:lvl w:ilvl="0">
      <w:start w:val="1"/>
      <w:numFmt w:val="decimal"/>
      <w:lvlText w:val="%1)"/>
      <w:lvlJc w:val="start"/>
      <w:pPr>
        <w:tabs>
          <w:tab w:val="num" w:pos="0"/>
        </w:tabs>
        <w:ind w:start="900" w:hanging="360"/>
      </w:pPr>
    </w:lvl>
  </w:abstractNum>
  <w:abstractNum w:abstractNumId="4">
    <w:lvl w:ilvl="0">
      <w:start w:val="1"/>
      <w:numFmt w:val="decimal"/>
      <w:lvlText w:val="%1."/>
      <w:lvlJc w:val="start"/>
      <w:pPr>
        <w:tabs>
          <w:tab w:val="num" w:pos="0"/>
        </w:tabs>
        <w:ind w:start="1080" w:hanging="360"/>
      </w:pPr>
    </w:lvl>
  </w:abstractNum>
  <w:abstractNum w:abstractNumId="5">
    <w:lvl w:ilvl="0">
      <w:start w:val="1"/>
      <w:numFmt w:val="decimal"/>
      <w:lvlText w:val="%1."/>
      <w:lvlJc w:val="start"/>
      <w:pPr>
        <w:tabs>
          <w:tab w:val="num" w:pos="0"/>
        </w:tabs>
        <w:ind w:start="720" w:hanging="360"/>
      </w:pPr>
    </w:lvl>
  </w:abstractNum>
  <w:abstractNum w:abstractNumId="6">
    <w:lvl w:ilvl="0">
      <w:start w:val="1"/>
      <w:numFmt w:val="decimal"/>
      <w:lvlText w:val="%1)"/>
      <w:lvlJc w:val="start"/>
      <w:pPr>
        <w:tabs>
          <w:tab w:val="num" w:pos="0"/>
        </w:tabs>
        <w:ind w:start="1069" w:hanging="360"/>
      </w:pPr>
    </w:lvl>
  </w:abstractNum>
  <w:abstractNum w:abstractNumId="7">
    <w:lvl w:ilvl="0">
      <w:start w:val="1"/>
      <w:numFmt w:val="decimal"/>
      <w:lvlText w:val="%1."/>
      <w:lvlJc w:val="start"/>
      <w:pPr>
        <w:tabs>
          <w:tab w:val="num" w:pos="0"/>
        </w:tabs>
        <w:ind w:start="1069" w:hanging="360"/>
      </w:pPr>
    </w:lvl>
  </w:abstractNum>
  <w:abstractNum w:abstractNumId="8">
    <w:lvl w:ilvl="0">
      <w:start w:val="1"/>
      <w:numFmt w:val="decimal"/>
      <w:lvlText w:val="%1)"/>
      <w:lvlJc w:val="start"/>
      <w:pPr>
        <w:tabs>
          <w:tab w:val="num" w:pos="0"/>
        </w:tabs>
        <w:ind w:start="1211" w:hanging="360"/>
      </w:pPr>
    </w:lvl>
  </w:abstractNum>
  <w:abstractNum w:abstractNumId="9">
    <w:lvl w:ilvl="0">
      <w:start w:val="5"/>
      <w:numFmt w:val="decimal"/>
      <w:lvlText w:val="%1."/>
      <w:lvlJc w:val="start"/>
      <w:pPr>
        <w:tabs>
          <w:tab w:val="num" w:pos="0"/>
        </w:tabs>
        <w:ind w:start="2912"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Lohit Devanagari"/>
        <w:sz w:val="24"/>
        <w:szCs w:val="24"/>
        <w:lang w:val="ru-RU" w:eastAsia="zh-CN" w:bidi="hi-IN"/>
      </w:rPr>
    </w:rPrDefault>
    <w:pPrDefault>
      <w:pPr>
        <w:suppressAutoHyphens w:val="true"/>
      </w:pPr>
    </w:pPrDefault>
  </w:docDefaults>
  <w:style w:type="paragraph" w:styleId="Normal">
    <w:name w:val="Normal"/>
    <w:qFormat/>
    <w:pPr>
      <w:widowControl/>
      <w:suppressAutoHyphens w:val="true"/>
      <w:kinsoku w:val="true"/>
      <w:overflowPunct w:val="true"/>
      <w:autoSpaceDE w:val="true"/>
      <w:bidi w:val="0"/>
    </w:pPr>
    <w:rPr>
      <w:rFonts w:ascii="Times New Roman" w:hAnsi="Times New Roman" w:eastAsia="Times New Roman" w:cs="Times New Roman"/>
      <w:color w:val="auto"/>
      <w:sz w:val="24"/>
      <w:szCs w:val="24"/>
      <w:lang w:val="ru-RU" w:eastAsia="zh-CN" w:bidi="ar-SA"/>
    </w:rPr>
  </w:style>
  <w:style w:type="paragraph" w:styleId="Heading1">
    <w:name w:val="Heading 1"/>
    <w:basedOn w:val="Normal"/>
    <w:next w:val="Normal"/>
    <w:qFormat/>
    <w:pPr>
      <w:keepNext w:val="true"/>
      <w:numPr>
        <w:ilvl w:val="0"/>
        <w:numId w:val="1"/>
      </w:numPr>
      <w:jc w:val="center"/>
      <w:outlineLvl w:val="0"/>
    </w:pPr>
    <w:rPr>
      <w:b/>
      <w:spacing w:val="200"/>
      <w:sz w:val="40"/>
      <w:szCs w:val="20"/>
    </w:rPr>
  </w:style>
  <w:style w:type="paragraph" w:styleId="Heading2">
    <w:name w:val="Heading 2"/>
    <w:basedOn w:val="Normal"/>
    <w:next w:val="Normal"/>
    <w:qFormat/>
    <w:pPr>
      <w:keepNext w:val="true"/>
      <w:numPr>
        <w:ilvl w:val="1"/>
        <w:numId w:val="1"/>
      </w:numPr>
      <w:outlineLvl w:val="1"/>
    </w:pPr>
    <w:rPr>
      <w:sz w:val="28"/>
    </w:rPr>
  </w:style>
  <w:style w:type="character" w:styleId="WW8Num2z0">
    <w:name w:val="WW8Num2z0"/>
    <w:qFormat/>
    <w:rPr/>
  </w:style>
  <w:style w:type="character" w:styleId="WW8Num3z0">
    <w:name w:val="WW8Num3z0"/>
    <w:qFormat/>
    <w:rPr/>
  </w:style>
  <w:style w:type="character" w:styleId="WW8Num4z0">
    <w:name w:val="WW8Num4z0"/>
    <w:qFormat/>
    <w:rPr/>
  </w:style>
  <w:style w:type="character" w:styleId="WW8Num5z0">
    <w:name w:val="WW8Num5z0"/>
    <w:qFormat/>
    <w:rPr/>
  </w:style>
  <w:style w:type="character" w:styleId="WW8Num6z0">
    <w:name w:val="WW8Num6z0"/>
    <w:qFormat/>
    <w:rPr/>
  </w:style>
  <w:style w:type="character" w:styleId="WW8Num7z0">
    <w:name w:val="WW8Num7z0"/>
    <w:qFormat/>
    <w:rPr/>
  </w:style>
  <w:style w:type="character" w:styleId="WW8Num8z0">
    <w:name w:val="WW8Num8z0"/>
    <w:qFormat/>
    <w:rPr/>
  </w:style>
  <w:style w:type="character" w:styleId="WW8Num9z0">
    <w:name w:val="WW8Num9z0"/>
    <w:qFormat/>
    <w:rPr/>
  </w:style>
  <w:style w:type="character" w:styleId="WW8Num1z0">
    <w:name w:val="WW8Num1z0"/>
    <w:qFormat/>
    <w:rPr/>
  </w:style>
  <w:style w:type="character" w:styleId="WW8Num10z0">
    <w:name w:val="WW8Num10z0"/>
    <w:qFormat/>
    <w:rPr/>
  </w:style>
  <w:style w:type="character" w:styleId="WW8Num11z0">
    <w:name w:val="WW8Num11z0"/>
    <w:qFormat/>
    <w:rPr/>
  </w:style>
  <w:style w:type="character" w:styleId="WW8Num12z0">
    <w:name w:val="WW8Num12z0"/>
    <w:qFormat/>
    <w:rPr/>
  </w:style>
  <w:style w:type="character" w:styleId="WW8Num13z0">
    <w:name w:val="WW8Num13z0"/>
    <w:qFormat/>
    <w:rPr/>
  </w:style>
  <w:style w:type="character" w:styleId="WW8Num14z0">
    <w:name w:val="WW8Num14z0"/>
    <w:qFormat/>
    <w:rPr/>
  </w:style>
  <w:style w:type="character" w:styleId="WW8Num15z0">
    <w:name w:val="WW8Num15z0"/>
    <w:qFormat/>
    <w:rPr/>
  </w:style>
  <w:style w:type="character" w:styleId="WW8Num16z0">
    <w:name w:val="WW8Num16z0"/>
    <w:qFormat/>
    <w:rPr/>
  </w:style>
  <w:style w:type="character" w:styleId="Style12">
    <w:name w:val="Основной шрифт абзаца"/>
    <w:qFormat/>
    <w:rPr/>
  </w:style>
  <w:style w:type="character" w:styleId="Style13">
    <w:name w:val="Текст выноски Знак"/>
    <w:qFormat/>
    <w:rPr>
      <w:rFonts w:ascii="Tahoma" w:hAnsi="Tahoma" w:cs="Tahoma"/>
      <w:sz w:val="16"/>
      <w:szCs w:val="16"/>
    </w:rPr>
  </w:style>
  <w:style w:type="character" w:styleId="2">
    <w:name w:val="Основной текст с отступом 2 Знак"/>
    <w:qFormat/>
    <w:rPr>
      <w:sz w:val="24"/>
      <w:szCs w:val="24"/>
    </w:rPr>
  </w:style>
  <w:style w:type="character" w:styleId="Style14">
    <w:name w:val="Верхний колонтитул Знак"/>
    <w:qFormat/>
    <w:rPr>
      <w:sz w:val="24"/>
      <w:szCs w:val="24"/>
    </w:rPr>
  </w:style>
  <w:style w:type="character" w:styleId="Style15">
    <w:name w:val="Нижний колонтитул Знак"/>
    <w:qFormat/>
    <w:rPr>
      <w:sz w:val="24"/>
      <w:szCs w:val="24"/>
    </w:rPr>
  </w:style>
  <w:style w:type="character" w:styleId="Hyperlink">
    <w:name w:val="Hyperlink"/>
    <w:rPr>
      <w:color w:val="000080"/>
      <w:u w:val="single"/>
    </w:rPr>
  </w:style>
  <w:style w:type="paragraph" w:styleId="Style16">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7">
    <w:name w:val="Указатель"/>
    <w:basedOn w:val="Normal"/>
    <w:qFormat/>
    <w:pPr>
      <w:suppressLineNumbers/>
    </w:pPr>
    <w:rPr>
      <w:rFonts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11">
    <w:name w:val="Caption111"/>
    <w:basedOn w:val="Normal"/>
    <w:qFormat/>
    <w:pPr>
      <w:suppressLineNumbers/>
      <w:spacing w:before="120" w:after="120"/>
    </w:pPr>
    <w:rPr>
      <w:rFonts w:cs="Lohit Devanagari"/>
      <w:i/>
      <w:iCs/>
      <w:sz w:val="24"/>
      <w:szCs w:val="24"/>
    </w:rPr>
  </w:style>
  <w:style w:type="paragraph" w:styleId="Caption1111">
    <w:name w:val="Caption1111"/>
    <w:basedOn w:val="Normal"/>
    <w:qFormat/>
    <w:pPr>
      <w:suppressLineNumbers/>
      <w:spacing w:before="120" w:after="120"/>
    </w:pPr>
    <w:rPr>
      <w:rFonts w:cs="Lohit Devanagari"/>
      <w:i/>
      <w:iCs/>
      <w:sz w:val="24"/>
      <w:szCs w:val="24"/>
    </w:rPr>
  </w:style>
  <w:style w:type="paragraph" w:styleId="Caption11111">
    <w:name w:val="Caption11111"/>
    <w:basedOn w:val="Normal"/>
    <w:qFormat/>
    <w:pPr>
      <w:suppressLineNumbers/>
      <w:spacing w:before="120" w:after="120"/>
    </w:pPr>
    <w:rPr>
      <w:rFonts w:cs="Lohit Devanagari"/>
      <w:i/>
      <w:iCs/>
      <w:sz w:val="24"/>
      <w:szCs w:val="24"/>
    </w:rPr>
  </w:style>
  <w:style w:type="paragraph" w:styleId="Caption111111">
    <w:name w:val="Caption111111"/>
    <w:basedOn w:val="Normal"/>
    <w:qFormat/>
    <w:pPr>
      <w:suppressLineNumbers/>
      <w:spacing w:before="120" w:after="120"/>
    </w:pPr>
    <w:rPr>
      <w:rFonts w:cs="Lohit Devanagari"/>
      <w:i/>
      <w:iCs/>
      <w:sz w:val="24"/>
      <w:szCs w:val="24"/>
    </w:rPr>
  </w:style>
  <w:style w:type="paragraph" w:styleId="Style18">
    <w:name w:val="распоряжение"/>
    <w:basedOn w:val="Normal"/>
    <w:next w:val="BodyText"/>
    <w:qFormat/>
    <w:pPr>
      <w:jc w:val="center"/>
    </w:pPr>
    <w:rPr>
      <w:sz w:val="20"/>
      <w:szCs w:val="20"/>
    </w:rPr>
  </w:style>
  <w:style w:type="paragraph" w:styleId="Style19">
    <w:name w:val="Текст выноски"/>
    <w:basedOn w:val="Normal"/>
    <w:qFormat/>
    <w:pPr/>
    <w:rPr>
      <w:rFonts w:ascii="Tahoma" w:hAnsi="Tahoma" w:cs="Tahoma"/>
      <w:sz w:val="16"/>
      <w:szCs w:val="16"/>
    </w:rPr>
  </w:style>
  <w:style w:type="paragraph" w:styleId="Style20">
    <w:name w:val=" Знак"/>
    <w:basedOn w:val="Normal"/>
    <w:qFormat/>
    <w:pPr>
      <w:spacing w:lineRule="exact" w:line="240" w:before="0" w:after="160"/>
    </w:pPr>
    <w:rPr>
      <w:rFonts w:ascii="Verdana" w:hAnsi="Verdana" w:cs="Verdana"/>
      <w:sz w:val="20"/>
      <w:szCs w:val="20"/>
      <w:lang w:val="en-US"/>
    </w:rPr>
  </w:style>
  <w:style w:type="paragraph" w:styleId="21">
    <w:name w:val="Основной текст с отступом 2"/>
    <w:basedOn w:val="Normal"/>
    <w:qFormat/>
    <w:pPr>
      <w:spacing w:lineRule="auto" w:line="480" w:before="0" w:after="120"/>
      <w:ind w:hanging="0" w:start="283" w:end="0"/>
    </w:pPr>
    <w:rPr/>
  </w:style>
  <w:style w:type="paragraph" w:styleId="Style21">
    <w:name w:val="Без интервала"/>
    <w:qFormat/>
    <w:pPr>
      <w:widowControl/>
      <w:suppressAutoHyphens w:val="true"/>
      <w:kinsoku w:val="true"/>
      <w:overflowPunct w:val="true"/>
      <w:autoSpaceDE w:val="true"/>
      <w:bidi w:val="0"/>
    </w:pPr>
    <w:rPr>
      <w:rFonts w:ascii="Calibri" w:hAnsi="Calibri" w:eastAsia="Times New Roman" w:cs="Calibri"/>
      <w:color w:val="auto"/>
      <w:sz w:val="22"/>
      <w:szCs w:val="22"/>
      <w:lang w:val="ru-RU" w:eastAsia="zh-CN" w:bidi="ar-SA"/>
    </w:rPr>
  </w:style>
  <w:style w:type="paragraph" w:styleId="Style22">
    <w:name w:val="Колонтитул"/>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3">
    <w:name w:val="Содержимое таблицы"/>
    <w:basedOn w:val="Normal"/>
    <w:qFormat/>
    <w:pPr>
      <w:widowControl w:val="false"/>
      <w:suppressLineNumbers/>
    </w:pPr>
    <w:rPr/>
  </w:style>
  <w:style w:type="paragraph" w:styleId="Style24">
    <w:name w:val="Заголовок таблицы"/>
    <w:basedOn w:val="Style23"/>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garantf1://12054854.11" TargetMode="External"/><Relationship Id="rId3" Type="http://schemas.openxmlformats.org/officeDocument/2006/relationships/hyperlink" Target="garantf1://12054854.11"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20274</TotalTime>
  <Application>LibreOffice/7.6.7.2$Linux_X86_64 LibreOffice_project/60$Build-2</Application>
  <AppVersion>15.0000</AppVersion>
  <Pages>25</Pages>
  <Words>5424</Words>
  <Characters>43117</Characters>
  <CharactersWithSpaces>48394</CharactersWithSpaces>
  <Paragraphs>428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2021-04-21T09:48:00Z</dcterms:created>
  <dc:creator>Поротиков</dc:creator>
  <dc:description/>
  <dc:language>ru-RU</dc:language>
  <cp:lastModifiedBy/>
  <cp:lastPrinted>2024-08-06T14:33:00Z</cp:lastPrinted>
  <dcterms:modified xsi:type="dcterms:W3CDTF">2026-02-03T14:20:52Z</dcterms:modified>
  <cp:revision>292</cp:revision>
  <dc:subject/>
  <dc:title/>
</cp:coreProperties>
</file>