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  <w:t>закрытого административно территориального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  <w:t>города Вилючинска Камчатского края</w:t>
      </w:r>
    </w:p>
    <w:p>
      <w:pPr>
        <w:pStyle w:val="Heading1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Heading1"/>
        <w:rPr/>
      </w:pPr>
      <w:r>
        <w:rPr/>
        <w:t>ПОСТАНОВЛЕНИЕ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</w:t>
        <w:tab/>
        <w:tab/>
        <w:tab/>
        <w:tab/>
        <w:tab/>
        <w:tab/>
        <w:tab/>
        <w:tab/>
        <w:tab/>
        <w:tab/>
        <w:t xml:space="preserve">                    № ___</w:t>
      </w:r>
    </w:p>
    <w:p>
      <w:pPr>
        <w:pStyle w:val="Style22"/>
        <w:rPr/>
      </w:pPr>
      <w:r>
        <w:rPr/>
      </w:r>
    </w:p>
    <w:p>
      <w:pPr>
        <w:pStyle w:val="Style22"/>
        <w:rPr/>
      </w:pPr>
      <w:r>
        <w:rPr/>
        <w:t>г. Вилючинск</w:t>
      </w:r>
    </w:p>
    <w:p>
      <w:pPr>
        <w:pStyle w:val="BodyText"/>
        <w:spacing w:before="0" w:after="0"/>
        <w:rPr/>
      </w:pPr>
      <w:r>
        <w:rPr/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актуализации схемы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теплоснабжения Вилючинского городского 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округа на период до 31.12.2027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190-ФЗ «О теплоснабжении», во исполнение постановления Правительства Российской Федерации от 22.02.2012 № 154 «О требованиях к схемам теплоснабжения, порядку их разработки и утверждения»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>ПОСТАНОВЛЯЮ:</w:t>
      </w:r>
    </w:p>
    <w:p>
      <w:pPr>
        <w:pStyle w:val="Normal"/>
        <w:shd w:val="clear" w:color="auto" w:fill="FFFFFF"/>
        <w:spacing w:lineRule="auto" w:line="240" w:before="0" w:after="0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3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актуализацию схемы теплоснабжения Вилючинского городского округа на период до 31.12.2027 согласно приложению к настоящему постановлению.</w:t>
      </w:r>
    </w:p>
    <w:p>
      <w:pPr>
        <w:pStyle w:val="ConsPlusNormal"/>
        <w:numPr>
          <w:ilvl w:val="0"/>
          <w:numId w:val="3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Признать утратившими силу постановление администрации Вилючинского городского округа от 12.08.2025 № 740 «Об утверждении актуализации схемы теплоснабжения Вилючинского городского округа на период до 31.12.2025».</w:t>
      </w:r>
    </w:p>
    <w:p>
      <w:pPr>
        <w:pStyle w:val="ConsPlusNormal"/>
        <w:numPr>
          <w:ilvl w:val="0"/>
          <w:numId w:val="3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публиковать настоящее постановление в </w:t>
      </w:r>
      <w:r>
        <w:rPr>
          <w:rFonts w:cs="Times New Roman" w:ascii="Times New Roman" w:hAnsi="Times New Roman"/>
          <w:sz w:val="28"/>
          <w:szCs w:val="28"/>
        </w:rPr>
        <w:t xml:space="preserve">периодическом печатном издании </w:t>
      </w:r>
      <w:r>
        <w:rPr>
          <w:rFonts w:cs="Times New Roman" w:ascii="Times New Roman" w:hAnsi="Times New Roman"/>
          <w:sz w:val="28"/>
          <w:szCs w:val="28"/>
        </w:rPr>
        <w:t>«Вилючинск</w:t>
      </w:r>
      <w:r>
        <w:rPr>
          <w:rFonts w:cs="Times New Roman" w:ascii="Times New Roman" w:hAnsi="Times New Roman"/>
          <w:sz w:val="28"/>
          <w:szCs w:val="28"/>
        </w:rPr>
        <w:t>ая</w:t>
      </w:r>
      <w:r>
        <w:rPr>
          <w:rFonts w:cs="Times New Roman" w:ascii="Times New Roman" w:hAnsi="Times New Roman"/>
          <w:sz w:val="28"/>
          <w:szCs w:val="28"/>
        </w:rPr>
        <w:t xml:space="preserve"> газет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. Официальны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известия </w:t>
      </w:r>
      <w:bookmarkStart w:id="0" w:name="_Hlk201749535"/>
      <w:r>
        <w:rPr>
          <w:rFonts w:cs="Times New Roman" w:ascii="Times New Roman" w:hAnsi="Times New Roman"/>
          <w:sz w:val="28"/>
          <w:szCs w:val="28"/>
        </w:rPr>
        <w:t xml:space="preserve">Вилючинского городского округа </w:t>
      </w:r>
      <w:bookmarkEnd w:id="0"/>
      <w:r>
        <w:rPr>
          <w:rFonts w:cs="Times New Roman" w:ascii="Times New Roman" w:hAnsi="Times New Roman"/>
          <w:sz w:val="28"/>
          <w:szCs w:val="28"/>
        </w:rPr>
        <w:t>ЗАТО г. Вилючинск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Камчатского края» и разместить на официальном сайте органов местного самоуправления Вилючинского городского округа </w:t>
      </w:r>
      <w:r>
        <w:rPr>
          <w:rFonts w:cs="Times New Roman" w:ascii="Times New Roman" w:hAnsi="Times New Roman"/>
          <w:sz w:val="28"/>
          <w:szCs w:val="28"/>
        </w:rPr>
        <w:t xml:space="preserve">закрытого административно-территориального образования города Вилючинска Камчатского края </w:t>
      </w:r>
      <w:r>
        <w:rPr>
          <w:rFonts w:cs="Times New Roman"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>
      <w:pPr>
        <w:pStyle w:val="ConsPlusNormal"/>
        <w:numPr>
          <w:ilvl w:val="0"/>
          <w:numId w:val="3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управлени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городск</w:t>
      </w:r>
      <w:r>
        <w:rPr>
          <w:rFonts w:cs="Times New Roman" w:ascii="Times New Roman" w:hAnsi="Times New Roman"/>
          <w:sz w:val="28"/>
          <w:szCs w:val="28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хозяйств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администрации Вилючинского городского округа.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</w:t>
      </w:r>
      <w:r>
        <w:rPr>
          <w:rFonts w:cs="Times New Roman" w:ascii="Times New Roman" w:hAnsi="Times New Roman"/>
          <w:b/>
          <w:sz w:val="28"/>
          <w:szCs w:val="28"/>
        </w:rPr>
        <w:t>лав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 xml:space="preserve"> Вилючинского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городского округа</w:t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>О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</w:rPr>
        <w:t>С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sz w:val="28"/>
          <w:szCs w:val="28"/>
        </w:rPr>
        <w:t>Бондаренко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right"/>
        <w:textAlignment w:val="baseline"/>
        <w:rPr>
          <w:rFonts w:ascii="Times New Roman" w:hAnsi="Times New Roman" w:eastAsia="SimSun" w:cs="Times New Roman"/>
          <w:kern w:val="2"/>
          <w:sz w:val="24"/>
          <w:szCs w:val="24"/>
        </w:rPr>
      </w:pPr>
      <w:r>
        <w:rPr>
          <w:rFonts w:eastAsia="SimSun" w:cs="Times New Roman" w:ascii="Times New Roman" w:hAnsi="Times New Roman"/>
          <w:kern w:val="2"/>
          <w:sz w:val="24"/>
          <w:szCs w:val="24"/>
        </w:rPr>
        <w:t xml:space="preserve">    </w:t>
      </w:r>
    </w:p>
    <w:tbl>
      <w:tblPr>
        <w:tblW w:w="432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26"/>
      </w:tblGrid>
      <w:tr>
        <w:trPr/>
        <w:tc>
          <w:tcPr>
            <w:tcW w:w="4326" w:type="dxa"/>
            <w:tcBorders/>
          </w:tcPr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Style24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Вилючинского городского округа</w:t>
            </w:r>
          </w:p>
          <w:p>
            <w:pPr>
              <w:pStyle w:val="Style2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  № _____</w:t>
            </w:r>
          </w:p>
        </w:tc>
      </w:tr>
    </w:tbl>
    <w:p>
      <w:pPr>
        <w:pStyle w:val="BodyText"/>
        <w:spacing w:lineRule="exact" w:line="322" w:before="66" w:after="0"/>
        <w:ind w:hanging="0" w:left="5388" w:right="0"/>
        <w:jc w:val="right"/>
        <w:rPr/>
      </w:pPr>
      <w:r>
        <w:rPr/>
      </w:r>
    </w:p>
    <w:p>
      <w:pPr>
        <w:pStyle w:val="BodyText"/>
        <w:spacing w:lineRule="exact" w:line="322" w:before="66" w:after="0"/>
        <w:ind w:hanging="0" w:left="5388" w:right="0"/>
        <w:jc w:val="right"/>
        <w:rPr/>
      </w:pPr>
      <w:r>
        <w:rPr/>
      </w:r>
    </w:p>
    <w:p>
      <w:pPr>
        <w:pStyle w:val="BodyText"/>
        <w:spacing w:lineRule="exact" w:line="322" w:before="66" w:after="0"/>
        <w:ind w:hanging="0" w:left="5388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619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 xml:space="preserve">АКТУАЛИЗАЦИЯ СХЕМЫ ТЕПЛОСНАБЖЕНИЯ  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caps/>
          <w:sz w:val="28"/>
          <w:szCs w:val="28"/>
        </w:rPr>
        <w:t>ВИЛЮЧИНСКОГО ГОРОДСКОГО ОКРУГА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cs="Times New Roman" w:ascii="Times New Roman" w:hAnsi="Times New Roman"/>
          <w:b/>
          <w:caps/>
          <w:sz w:val="28"/>
          <w:szCs w:val="28"/>
        </w:rPr>
        <w:t>на период до 31.12.2027 года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85"/>
        <w:gridCol w:w="4785"/>
      </w:tblGrid>
      <w:tr>
        <w:trPr>
          <w:trHeight w:val="1021" w:hRule="atLeast"/>
        </w:trPr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21" w:hRule="atLeast"/>
        </w:trPr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/>
          </w:tcPr>
          <w:p>
            <w:pPr>
              <w:pStyle w:val="Standard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Вилючинск 2025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06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54"/>
        <w:gridCol w:w="7233"/>
        <w:gridCol w:w="1419"/>
      </w:tblGrid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Страница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Основание для проведения актуализации Схемы теплоснабжения Вилючинского городского округа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Существующее положение в сфере теплоснабжения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Распределение тепловой нагрузки между источниками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Изменение тепловых нагрузок в зонах действия источников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 по обеспечению технической возможности подключения к системе теплоснабжения объектов капитального строительства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Переключение тепловой нагрузки от котельных на источники с комбинированной выработкой тепловой и электрической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 по переоборудованию котельных в источники комбинированной выработки электрической и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Строительство, реконструкция тепловых сетей, включая их реконструкцию в связи с исчерпанием установленного и продленного ресурсов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Баланс топливно-энергетических ресурсов для обеспечения теплоснабжения, в том числе расходов аварийных запасов топлива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16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Финансовые потребности и источники их покрытия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Финансовые потребности для реализации мероприятий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10.2.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Источники покрытия инвестиций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Внесение изменений в Схему теплоснабжения Вилючинского городского округа в соответствии с поступившими предложениями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19</w:t>
            </w:r>
          </w:p>
        </w:tc>
      </w:tr>
    </w:tbl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Основание для проведения актуализации схемы теплоснабжения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Вилючинского городского округа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Схема теплоснабжения Вилючинского городского округа до 2027 года утверждена постановлением главы администрации городского округа от 20.02.2013 № 255, а также от 18.11.2019 № 1115 (далее – Схема).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Актуализация схемы теплоснабжения производится на основании: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постановления Правительства Российской Федерации от 22.02.2012 </w:t>
        <w:br/>
        <w:t>№ 154 «О требованиях к схемам теплоснабжения, порядку их разработки и утверждения»;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методических рекомендаций по разработке схем теплоснабжения, утвержденных совместным Приказом Министерства энергетики РФ и Министерством регионального развития РФ от 29.12.2012 № 565/667;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постановления администрации Вилючинского городского округа от 11.01.2016 № 2 «Об определении единой теплоснабжающей организации Вилючинского городского округа»;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предложений от АО «Камчатэнергосервис»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по тексту заменить МУП «ГТВС» на АО «Камчатэнергосервис»).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Актуализация Схемы предусматривает определение мероприятий по развитию теплоснабжения городского округа на период до 31.12.2025, а также потребность в финансовых ресурсах и источниках их покрытия.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Существующее положение в сфере теплоснабжения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соответствии со Схемой (Книга 1 «Существующее положение в сфере производства, передачи и потребления тепловой энергии для целей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теплоснабжения») раздел «1. Функциональная структура организации теплоснабжения» принять в следующей редакции:</w:t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Функциональная структура организации теплоснабжения.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Теплоснабжение жилищного и общественного фонда Вилючинского городского округа осуществляет акционерное общество «Камчатэнергосервис» (далее по тексту – АО «Камчатэнергосервис»), образованное в соответствии с решением единственного учредителя ГУП «Камчатэнергоснаб» от 06.06.2011 №1, Гражданским кодексом Российской Федерации, Федеральным законом «Об акционерных обществах», иными нормативными актами Российской Федерации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и является непубличным Обществом, реорганизовано путем присоединения к нему Открытого акционерного общества «Управление производственно-технологической комплектации предприятий жилищно-коммунального хозяйства Камчатского края на основании решений единственного акционера ГУП «Камчатэнергоснаб» № 2 от 26.07.2014 и №14 от 26.07.2014.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Основными направлениями производственной деятельности </w:t>
      </w:r>
      <w:bookmarkStart w:id="1" w:name="_Hlk200528797"/>
      <w:r>
        <w:rPr>
          <w:rFonts w:cs="Times New Roman" w:ascii="Times New Roman" w:hAnsi="Times New Roman"/>
          <w:bCs/>
          <w:sz w:val="28"/>
          <w:szCs w:val="28"/>
        </w:rPr>
        <w:br/>
        <w:t>АО «Камчатэнергосервис»</w:t>
      </w:r>
      <w:bookmarkEnd w:id="1"/>
      <w:r>
        <w:rPr>
          <w:rFonts w:cs="Times New Roman" w:ascii="Times New Roman" w:hAnsi="Times New Roman"/>
          <w:bCs/>
          <w:sz w:val="28"/>
          <w:szCs w:val="28"/>
        </w:rPr>
        <w:t xml:space="preserve"> является производство пара и горячей воды (тепловой энергии) котельными.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эксплуатации АО «Камчатэнергосервис», на основании концессионного соглашения в отношении объектов теплоснабжения на территории Вилючинского городского округа от 25.12.2018, находятся три изолированные территориально разнесенные системы теплоснабжения, образованные на базе котельных с установленной мощностью от 0,7 до 56,0 Гкал/час и суммарной годовой выработкой около 240 тыс. Гкал. Системы теплоснабжения располагаются на территории: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жилого района Приморский;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жилого района Рыбачий;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поселка Сельдевая.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 тепловым сетям, эксплуатируемым АО «Камчатэнергосервис» присоединено 159 жилых зданий общей площадью 537,7 тыс. м</w:t>
      </w:r>
      <w:r>
        <w:rPr>
          <w:rFonts w:cs="Times New Roman" w:ascii="Times New Roman" w:hAnsi="Times New Roman"/>
          <w:bCs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Также на территории Вилючинского городского округа функционируют 9 ведомственных котельных, покрывающих потребности в тепле объектов базы МУП «Ремжилсервис», базы МУП «Автодор», ОАО «Северо-Восточный ремонтный Центр» и Министерства обороны Российской Федерации.</w:t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numPr>
          <w:ilvl w:val="0"/>
          <w:numId w:val="3"/>
        </w:numP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Источники тепловой энергии</w:t>
      </w:r>
    </w:p>
    <w:p>
      <w:pPr>
        <w:pStyle w:val="Standard"/>
        <w:numPr>
          <w:ilvl w:val="1"/>
          <w:numId w:val="3"/>
        </w:numP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 и технические характеристики основного</w:t>
      </w:r>
    </w:p>
    <w:p>
      <w:pPr>
        <w:pStyle w:val="Standard"/>
        <w:spacing w:lineRule="auto" w:line="240" w:before="0" w:after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оборудования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Выработка тепловой энергии для нужд жилищного и общественного фонда АО «Камчатэнергосервис» осуществляется на двух паровых и одной автономной водогрейной котельной.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Паровая котельная, расположенная по адресу: ул. Приморская, д. 19 (котельная «Центральная» жилого района Приморский) суммарной установленной тепловой мощностью 51,2 Гкал/ч осуществляет централизованное теплоснабжение жилого района Приморский.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Паровая котельная, расположенная по адресу: ул. Вилкова д. 5 (котельная «Центральная» жилого района Рыбачий) суммарной установленной тепловой мощностью 56 Гкал/ч осуществляет централизованное теплоснабжение жилого района Рыбачий.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Водогрейная котельная «Автономная» поселка Сельдевая жилого района Приморский суммарной установленной тепловой мощностью 0,7 Гкал/ч осуществляет теплоснабжение одного дома по адресу ул. Владивостокская, д. 4.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13. Базовые целевые показатели систем теплоснабжения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Таблица 13.4 – Базовые целевые показатели эффективности передачи тепловой энергии в зоне действия котельной жилого района Приморский.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Целевой 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Потери тепловой энергии, в т.ч.: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14 226,9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14 111,1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Потери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29 291,5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29 393,9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Потери теплоносителя в % от циркуляции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Удельный расход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тонн/Гкал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Удельный расход электроэнергии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кВт*ч/Гкал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Фактический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2,3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Эффективный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7,1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Температура теплоносителя в подающем теплопроводе, принятая для проектирования тепловых сетей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Разность температур в подающей и обратной тепломагистрали</w:t>
              <w:br/>
              <w:t>при расчетной температуре наружного воздуха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нормативная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фактическая, в период достигнутого максимума тепловой</w:t>
              <w:br/>
              <w:t>нагрузки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13,5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Средневзвешенная плотность тепловой нагрузки в зоне действия</w:t>
              <w:br/>
              <w:t>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Гкал/ч/км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Удельная материальная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137,5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137,5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магистральных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122,9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122,9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внутриквартальных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14,6</w:t>
            </w:r>
          </w:p>
        </w:tc>
      </w:tr>
    </w:tbl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Таблица 13.5 – Базовые целевые показатели эффективности передачи тепловой энергии в зоне действия котельной жилого района Рыбачий.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Целевой 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Единица</w:t>
              <w:br/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2024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Потери тепловой энергии, в т.ч.: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10 636,3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10 402,1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15,6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15,1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Потери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18 270,7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18 336,2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Потери теплоносителя в % от циркуляции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Удельный расход теплоносителя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тонн/Гкал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Удельный расход электроэнергии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кВт*ч/Гкал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Фактический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4,0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Эффективный радиус теплоснабжения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8,7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8,7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Температура теплоносителя в подающем теплопроводе, принятая для проектирования тепловых сетей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110/95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110/95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Разность температур в подающей и обратной тепломагистрали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при расчетной температуре наружного воздуха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нормативная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40/25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40/25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фактическая, в период достигнутого максимума тепловой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нагрузки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25,5/14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27/14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Средневзвешенная плотность тепловой нагрузки в зоне действия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источника тепловой энергии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Гкал/ч/км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32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Удельная материальная характеристика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182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магистральных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60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внутриквартальных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</w:rPr>
              <w:t>122</w:t>
            </w:r>
          </w:p>
        </w:tc>
      </w:tr>
    </w:tbl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</w:rPr>
        <w:t>15. Приложение А.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А.2. Характеристики участков тепловых сетей АО «Камчатэнергосервис».</w:t>
      </w:r>
    </w:p>
    <w:p>
      <w:pPr>
        <w:pStyle w:val="Normal"/>
        <w:widowControl/>
        <w:suppressAutoHyphens w:val="false"/>
        <w:spacing w:lineRule="auto" w:line="240" w:before="0" w:after="0"/>
        <w:ind w:firstLine="709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 xml:space="preserve">Тепловые сети жилого района Приморский проложены в двухтрубном исполнении подземным способом в непроходных каналах и надземным способом. </w:t>
      </w:r>
    </w:p>
    <w:p>
      <w:pPr>
        <w:pStyle w:val="Normal"/>
        <w:widowControl/>
        <w:suppressAutoHyphens w:val="false"/>
        <w:spacing w:lineRule="auto" w:line="240" w:before="0" w:after="0"/>
        <w:ind w:firstLine="709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  <w:t>Магистральные участки тепловой сети жилого района Приморский от котельной до ТК-115 (включая ТК-61, ТК-62, ТК-63, ТК-64, ТЕ-67, ТК-68, ТК-74, ТК-75, ТК-24, ТК-100, ТК-105, ТК-89, ТК-86, ТК-86А, ТК-84А, ТК-84Б, ТК-84, ТК-107, ТК-108, ТК-117, ТК-90, ТК-111, ТК-116, ТК-115), а также от котельной до ТК-40Б (включая ТК-3, ТК-15, ТК-15А, ТК-17, ТК-27, ТК-29, ТК-30, ТК-38, ТК-38А, ТК-39, ТК-40, ТК-40Б) являются тупиковыми, поскольку не имеют кольцевой части (П18.3.5. Приложения № 18 к Методическим указаниям по разработке схем теплоснабжения, утвержденных Приказом Министерства энергетики РФ от 05.03.2019 № 212).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 w:cs="Times New Roman"/>
          <w:kern w:val="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0"/>
          <w:szCs w:val="20"/>
        </w:rPr>
        <w:t>Таблица А.1 – Характеристики участков тепловых сетей котельной жилого района Приморский</w:t>
      </w:r>
    </w:p>
    <w:tbl>
      <w:tblPr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20"/>
        <w:gridCol w:w="1585"/>
        <w:gridCol w:w="1487"/>
        <w:gridCol w:w="1549"/>
        <w:gridCol w:w="1497"/>
        <w:gridCol w:w="1489"/>
      </w:tblGrid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Участок тепловой сети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Способ</w:t>
              <w:br/>
              <w:t>прокладки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Год ввода</w:t>
              <w:br/>
              <w:t>в эксплуатацию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Наружный</w:t>
              <w:br/>
              <w:t>диаметр</w:t>
              <w:br/>
              <w:t>трубопроводов,</w:t>
              <w:br/>
              <w:t>мм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Длина</w:t>
              <w:br/>
              <w:t>трубопровода в</w:t>
              <w:br/>
              <w:t>одно</w:t>
              <w:br/>
              <w:t>трубном</w:t>
              <w:br/>
              <w:t>исчислении, 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Материальная</w:t>
              <w:br/>
              <w:t>характеристика,</w:t>
              <w:br/>
              <w:t>кв. м</w:t>
            </w:r>
          </w:p>
        </w:tc>
      </w:tr>
      <w:tr>
        <w:trPr/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Участки тепловой сети от котельной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котельная-ТК3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69,55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котельная-ТК3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ТК15А-ТК17Б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55,38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ТК15А-ТК15Б(ГИБДД)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ТК1-котельная (ТП№1)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ТК40А-ТК41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37,23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ТК-40 – ТК-40Б до Мира 21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33,549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от ТП № 2 – ТК-1Б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ТК-3 – ТК-15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ТК-15 – ТК-14А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14,25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ТК40-ТК40Б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29,733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ТК- 40Б – ТК-60Б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81,03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ТК60Б-ТК115А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ТК40-ТК40А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7,884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ТК42-ТК43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33,288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ТК41А-ТК56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10,812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ТК57-ТК58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 58-ТК59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17,712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ТК44-ТК52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ТК44-ТК45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27,03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ТК46-Мира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ТК46-Мира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ТК50-ТК51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ТК45-ТК46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Мира16-ТК51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8-ТК52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10,176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8-Мира7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5,518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Мира10–ТК44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10-Мира 18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4-ТК41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ТК50–Мира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ТК- 37-школа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ТК-37- школа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ТК18-Приморская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ТК18А-Приморская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19-Приморская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23А-Приморская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2,592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23-Приморская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1,824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27-ЦБС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3,363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21-Приморская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20-Приморская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ТК23-ТК23А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ТК22-ТК21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ТК21-ТК20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12-Приморская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7-Приморская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4,094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ТК35-Кронштадтская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9,79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ТК30-ТК31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24,09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ТК36-ТК37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ТК38А-ТК39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ТК38-ТК38А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ТК39-ТК40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34,125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ТК39-ТК40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28,665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17-ТК17А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24,09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17Б-ТК27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127,8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4- Приморская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ТК18А-Приморская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ТК17-ТК17Б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17А-ТК18А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27,93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18-ТК17А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6,57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19-ТК18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19,71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20-ТК19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28,47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ТК30-ТК38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31-ТК32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32-ТК33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16,644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33-ТК34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1-Приморская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ТК23-Приморская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3,916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ТК22-ТК23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ТК34-ТК35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9,54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27-ТК29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85,2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29-ТК30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85,2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35-ТК36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12–ТК37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12–ТК36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3,204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2–ТК35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3–ТК34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2,964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4–ТК33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5–ТК32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6,942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6–ТК31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9–ТК31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0,216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7 – ТК38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8–ТК30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0,456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Кронштадтская 8–ТК29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0,912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41-ТК41А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42-ТК55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11,016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ТК41-ТК42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11,448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ТК57-ТК56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8,268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ТК43-ТК44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ТК50-ТК46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ТК45-Мира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1,246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ТК45-Мира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1,246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ТК52-Мира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2,314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ТК53-Мира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ТК55-Мира 17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ТК56-Мира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3,648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ТК57-Мира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41А-Мира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42-Мира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ТК27-Приморская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ТК30-Кронштадтская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ТК59–ДЮСШ-1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0,456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8-ЦРТДЮ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4-Сад №3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Мира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3,952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4,864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6,23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Приморская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ТК36-музшкола №1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0,114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ТК61-ТК24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80,088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ТК2-ТК61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96,278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ТК1А-ТК1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82,55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ТК1А-ТК2А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ТК2-ТК2А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53,958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ТК1А-ТК-1Б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84,64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ТК61-ТК62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65,65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ТК62-ТК63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ТК63-ТК64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85,8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ТК114-ТК115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91,584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97-Спортивная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97-ТК115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29,256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ТК115-ТК116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109,5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ТК116-ТК117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42,486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ТК117-ТК90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90-ТК111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111-ТК112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17,49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ТК118-ТК119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ТК119-Спортивная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6,996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ТК118-Спортивная 1А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ТК114-Спортивная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8,268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ТК98-Спортивная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Спортивная 7- Спортивная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ТК98-Спортивная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ТК112-Спортивная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ТК115А-ТК115Б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ТК98-ТК115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ТК68-ТК67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ТК67-ТК64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94,25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ТК67-Победы 20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29,808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ТК64-Победы 18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5,832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ТК64-ТК65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21,024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ТК65-ТК11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34,026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ТК11-ТК11А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33,39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ТК11А-ТК66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ТК11-Победы 17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ТК66-Победы 21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0,304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ТК65-Победы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4,408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ТК63-ТК6А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3,816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ТК6-Победы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ТК6А-Победы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 – ТК-10 – Победы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19,418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ТК4-Победы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5,724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4,536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ТК26-Победы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ТК99А-дет.сад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2,937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ТК99А-Победы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2,492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ТК24-ТК100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223,224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ТК101-ТК102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14,31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ТК102-ТК103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9,54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ТК104-администрация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ТК104-гараж адм-ции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ТК103-ТК104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6,118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ТК103-ТК14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33,072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ТК13-ТК14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12,312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ТК14-Победы 27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6,052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ТК99-ТК100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ТК99-ТК101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14,31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ТК104-Победы 28 (Оветвление)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4,806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ТК99-Победы 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ТК74-ТК75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52,152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9-Центральная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ТК68А-Центральная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3,204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ТК14-Победы 26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5,429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ТК13-Победы 25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25-Победы 23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5,696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ТК25-Победы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4,272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5-Победы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2,314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ТК6-ТК6А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ТК25-ТК24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15,33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10-ТК62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ТК5-ТК4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9,256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ТК5-Победы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0,534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ТК4-Победы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ТК26-Победы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6,23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ТК11А-Победы 19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1,246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ТК100-ТК105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253,896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ТК91А-ТК107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47,712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ТК107–мкр. Центральный 33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ТК107-ТК84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25,56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ТК82А-ТК79А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15,33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ТК82А-мкр. Центральный 26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ТК82-ТК83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ТК82А-ТК82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13,359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ТК83А-ТК84Б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49,056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ТК78-ТК79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30,66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ТК74-ТК68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145,6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ТК79А-ТК79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18,834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ТК74-ТК9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25,27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ТК9-мкр. Центральный 18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9,612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ТК74-мкр. Центральный 17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ТК75-мкр. Центральный 19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ТК75-мкр. Центральный 21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2,047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ТК77-мкр. Центральный 23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ТК78-мкр. Центральный 20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2,136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ТК79-мкр. Центральный 22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1,602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ТК79А-мкр. Центральный 24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ТК82-мкр. Центральный 28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10,368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ТК83А-мкр. Центральный 30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0,712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ТК84-мкр. Центральный 31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1,424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ТК83-ТК83А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ТК84-ТК86А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106,5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ТК86-ТК86А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72,42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ТК87-школа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1,728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ТК68-ТК68А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28,032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ТК68А-мкр. Центральный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ТК68А-ТК69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39,42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ТК69-ТК70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32,436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ТК70-ТК71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ТК71-ТК71А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12,96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ТК71А-мкр. Центральный 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ТК69,70-мкр. Центральный 11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ТК71,71А-мкр. Центральный 9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2,67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ТК71-мкр. Центральный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ТК72А-ТК72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2,225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ТК72-мкр. Центральный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0,534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ТК88Б-ТК88А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2,544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ТК88-ТК89А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34,98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ТК72А-ТК88Б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13,392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ТК89А-ТК89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7,632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ТК89-ТК86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42,6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ТК89-ТК105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88,608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ТК70-мкр. Центральный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0,864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ТК78-ТК77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ТК88А-88В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4,77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ТК88Б-гаражи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ТК88А-РКЦ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0,57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ТК88-ТК88В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11,13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ТК91А-ТК117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ТК91А-ТК108 (Магистральный)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ТК91-ТК92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22,26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ТК91-мкр. Северный 10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5,34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ТК92-мкр. Северный 12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1,602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ТК92-ТК93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ТК93-мкр. Северный 14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1,602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ТК93-ТК94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ТК94-мкр. Северный 16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1,78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ТК94-ТК95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7,95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ТК95-ТК95А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50,88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ТК95А-мкр. Северный 15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1,08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 95А-мкр. Северный 13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6,48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ТК93-ТК110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56,784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ТК110-ТК111 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21,294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ТК101-Победы 2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2,314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5,586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ТК7-Победы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4,968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ТК11А-Аптека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11,286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ТК90-ТК118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19,5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ТК47-ТК47А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3,42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ТК86А-ТК86Б (Квартальный)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ТК86Б-ГУС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13,35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ТК116-с. ДЮСШ № 1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8,64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25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0,445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5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3,458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6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17,172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</w:t>
            </w:r>
          </w:p>
        </w:tc>
      </w:tr>
      <w:tr>
        <w:trPr/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Победы 8 (Ответвление)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надземная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5,4</w:t>
            </w:r>
          </w:p>
        </w:tc>
      </w:tr>
    </w:tbl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Распределение тепловой нагрузки</w:t>
      </w:r>
    </w:p>
    <w:p>
      <w:pPr>
        <w:pStyle w:val="Standard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между источниками тепловой энергии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Схемой (Книга 1 «Существующее положение в сфере производства, передачи и потребления тепловой энергии для целей теплоснабжения») в таблице 1 приведены значения потребления тепловой энергии при расчетных температурах наружного воздуха в зонах действия источников тепловой энергии и параметры располагаемой тепловой мощности источников.</w:t>
      </w:r>
    </w:p>
    <w:p>
      <w:pPr>
        <w:pStyle w:val="Standard"/>
        <w:spacing w:lineRule="auto" w:line="240" w:before="0" w:after="0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предполагаемых вводимых строительных площадей, тепловые нагрузки по видам потребления до 31.12.2027 приведен в таблице 1.</w:t>
      </w:r>
    </w:p>
    <w:p>
      <w:pPr>
        <w:pStyle w:val="Standard"/>
        <w:spacing w:lineRule="auto" w:line="240" w:before="0" w:after="0"/>
        <w:ind w:firstLine="37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37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tbl>
      <w:tblPr>
        <w:tblW w:w="97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2694"/>
        <w:gridCol w:w="1844"/>
        <w:gridCol w:w="1986"/>
        <w:gridCol w:w="1670"/>
        <w:gridCol w:w="967"/>
      </w:tblGrid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Установленная тепловая мощность, Гкал/час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Расчетная присоединенная тепловая нагрузка (при средней нагрузке ГВС) Гкал/час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Предполагаемая к присоединению тепловая нагрузка до 31.12.2027 Гкал/час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Дефицит (-)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Избыток (+)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535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ж.р. Приморский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50,627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517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ж.р. Рыбачий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37,221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10,279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numPr>
                <w:ilvl w:val="0"/>
                <w:numId w:val="9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</w:t>
            </w:r>
          </w:p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пос. Сельдевая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39" w:hRule="atLeast"/>
        </w:trPr>
        <w:tc>
          <w:tcPr>
            <w:tcW w:w="32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107,9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88,479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10,279</w:t>
            </w:r>
          </w:p>
        </w:tc>
      </w:tr>
    </w:tbl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374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Распределение тепловых нагрузок между источниками тепловой энергии по данным теплоснабжения на период до 31.12.2027 приведено в таблице 2.</w:t>
      </w:r>
    </w:p>
    <w:p>
      <w:pPr>
        <w:pStyle w:val="Standard"/>
        <w:tabs>
          <w:tab w:val="clear" w:pos="708"/>
          <w:tab w:val="left" w:pos="9003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08"/>
          <w:tab w:val="left" w:pos="9003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tbl>
      <w:tblPr>
        <w:tblW w:w="98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2698"/>
        <w:gridCol w:w="1700"/>
        <w:gridCol w:w="1278"/>
        <w:gridCol w:w="1247"/>
        <w:gridCol w:w="1271"/>
        <w:gridCol w:w="1137"/>
      </w:tblGrid>
      <w:tr>
        <w:trPr>
          <w:trHeight w:val="1641" w:hRule="atLeast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источника тепла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района проекта планировки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Установленная тепловая мощность, Гкал/час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Расчетная присоединенная тепловая нагрузка, Гкал/час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Предполагаемый прирост тепловой нагрузки до 31.12.27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Переключаемая тепловая нагрузка до 31.12.27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Центральная котельная ж.р. Приморский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ж.р. Приморский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50,627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Центральная котельная ж.р. Рыбачий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ж.р. Рыбачий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37,221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Автономная котельная пос. Сельдевая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пос. Сельдевая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94" w:hRule="atLeast"/>
        </w:trPr>
        <w:tc>
          <w:tcPr>
            <w:tcW w:w="49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107,9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88,479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Standard"/>
        <w:spacing w:lineRule="auto" w:line="240" w:before="0" w:after="0"/>
        <w:ind w:firstLine="37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4. Изменение тепловых нагрузок в каждой зоне действия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источников тепловой энергии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Изменения тепловых нагрузок в каждой зоне действия источников тепловой энергии на период до 31.12.2027 г. приведены в таблице 3.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</w:t>
      </w:r>
    </w:p>
    <w:tbl>
      <w:tblPr>
        <w:tblW w:w="98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1699"/>
        <w:gridCol w:w="1702"/>
        <w:gridCol w:w="1699"/>
        <w:gridCol w:w="1558"/>
        <w:gridCol w:w="1702"/>
        <w:gridCol w:w="953"/>
      </w:tblGrid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 действия источника тепловой энергии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Прирост тепловых нагрузок по утвержденной Схеме с 2014 г. по 31.12.2025 г., Гкал/ч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Прирост тепловых нагрузок по актуализации Схемы до 31.12.2027 г., Гкал/ч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Прирост тепловых нагрузок за счет переключения до </w:t>
              <w:br/>
              <w:t>31.12.2027 г., Гкал/ч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Изменения тепловых нагрузок, Гкал/ч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98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Зоны действующих источников тепловой энергии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Приморский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район Приморский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2,34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2,34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Рыбачий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район Рыбачий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aps/>
                <w:sz w:val="24"/>
                <w:szCs w:val="24"/>
              </w:rPr>
              <w:t>1.3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 Сельдевая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Итого: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3,980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3,980</w:t>
            </w:r>
          </w:p>
        </w:tc>
      </w:tr>
    </w:tbl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Баланс тепловых нагрузок по источникам тепловой энергии приведен в таблице 4.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4</w:t>
      </w:r>
    </w:p>
    <w:tbl>
      <w:tblPr>
        <w:tblW w:w="976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6"/>
        <w:gridCol w:w="1842"/>
        <w:gridCol w:w="1388"/>
        <w:gridCol w:w="1559"/>
        <w:gridCol w:w="1703"/>
        <w:gridCol w:w="1700"/>
        <w:gridCol w:w="1006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Установленная тепловая мощность, Гкал/ч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Расчетная присоединенная тепловая нагрузка на 2014 год, Гкал/ч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Прирост тепловых нагрузок в соответствии с табл. 2, Гкал/ч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Предполагаемая общая тепловая нагрузка потребителей в 2027 году, Гкал/ч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Избыток (+)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Дефицит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(-)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1106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Приморский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43,489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50,627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Центральная котельная ж.р. Рыбачий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37,607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37,221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10,279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0,631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строящимся источникам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4045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ИТОГО: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107,9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81,727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88,479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10,279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Выработка тепловой энергии по годам приведена в таблице 5.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5</w:t>
      </w:r>
    </w:p>
    <w:tbl>
      <w:tblPr>
        <w:tblW w:w="9756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8"/>
        <w:gridCol w:w="1876"/>
        <w:gridCol w:w="992"/>
        <w:gridCol w:w="1135"/>
        <w:gridCol w:w="1136"/>
        <w:gridCol w:w="990"/>
        <w:gridCol w:w="850"/>
        <w:gridCol w:w="850"/>
        <w:gridCol w:w="1138"/>
        <w:gridCol w:w="10"/>
      </w:tblGrid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710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Выработка тепловой энергии, тыс.Гкал</w:t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2025-2027 гг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Центральная котельная ж.р. Приморский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112,108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112,474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109,135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107,632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107,493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106,247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106,257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Центральная котельная ж.р. Рыбачий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78,003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77,263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76,503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75,873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74,734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75,600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75,600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Автономная котельная Сельдевая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1,258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1,184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0,960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0,946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0,977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0,977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  <w:tr>
        <w:trPr>
          <w:trHeight w:val="482" w:hRule="atLeast"/>
        </w:trPr>
        <w:tc>
          <w:tcPr>
            <w:tcW w:w="2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192,6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191,369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190,921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186,598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184,451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182,824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  <w:t>182,824</w:t>
            </w:r>
          </w:p>
        </w:tc>
        <w:tc>
          <w:tcPr>
            <w:tcW w:w="1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textAlignment w:val="baseline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Зоны действия источников тепловой энергии на период до 31.12.2027 не изменяются и соответствуют зонам действия источников тепловой энергии определенными в гл.4 Книги 1 Схемы.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5. Мероприятия по обеспечению технической возможности подключения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 системам теплоснабжения объектов капитального строительства</w:t>
      </w:r>
    </w:p>
    <w:p>
      <w:pPr>
        <w:pStyle w:val="ListParagraph"/>
        <w:ind w:firstLine="709" w:left="0"/>
        <w:jc w:val="both"/>
        <w:rPr>
          <w:sz w:val="28"/>
        </w:rPr>
      </w:pPr>
      <w:r>
        <w:rPr>
          <w:sz w:val="28"/>
        </w:rPr>
        <w:t>В связи с отсутствием резерва располагаемой мощности на центральной котельной жилого района «Приморский», не представляется возможным подключение комплекса многоквартирных домов в жилом районе Приморский к системе теплоснабжения.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Ведутся работы по строительству модульной электрокотельной и по подключению к инженерным сетям теплоснабжения, водоснабжения и электроснабжения жилого микрорайона «Северный-2» г. Вилючинск в 2025 году.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6. Переключение тепловой нагрузки от котельных на источники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 комбинированной выработкой тепловой и электрической энергии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Внесение изменений в Схему, в связи с её актуализацией на период до 31.12.2027 г. в части переключения тепловой нагрузки от котельных на источники с комбинированной выработкой тепловой и электрической энергии - не требуется.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7. Мероприятия по переоборудованию котельных в источники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комбинированной выработки электрической и тепловой энергии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Мероприятия по развитию когенерационного принципа выработки электрической и тепловой энергии актуализацией Схемы не рассматриваются.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caps/>
          <w:sz w:val="28"/>
          <w:szCs w:val="24"/>
          <w:shd w:fill="00FF00" w:val="clear"/>
        </w:rPr>
      </w:pPr>
      <w:r>
        <w:rPr>
          <w:rFonts w:cs="Times New Roman" w:ascii="Times New Roman" w:hAnsi="Times New Roman"/>
          <w:caps/>
          <w:sz w:val="28"/>
          <w:szCs w:val="24"/>
          <w:shd w:fill="00FF00" w:val="clear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8. Строительство и реконструкция тепловых сетей, включая их реконструкцию в связи с исчерпанием установленного и продленного ресурсов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Актуализация Схемы на период до 31.12.2027 г. основывается на ранее обозначенных разделах и учитывает методику расчета, приведенную в Схеме. Данным разделом вносятся изменения в Книгу 7 Схемы «Предложения по строительству и реконструкции тепловых сетей и сооружений на них».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Предложения по новому строительству и реконструкции тепловых сетей состоят из следующих направлений: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капитальный ремонт тепловых сетей, подлежащих замене в связи с исчерпанием эксплуатационного ресурса.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  <w:shd w:fill="FFFF00" w:val="clear"/>
        </w:rPr>
      </w:pPr>
      <w:r>
        <w:rPr>
          <w:rFonts w:cs="Times New Roman" w:ascii="Times New Roman" w:hAnsi="Times New Roman"/>
          <w:sz w:val="28"/>
          <w:szCs w:val="24"/>
          <w:shd w:fill="FFFF00" w:val="clear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Капитальный ремонт тепловых сетей, подлежащих замене в связи с исчерпанием эксплуатационного ресурса до конца 2025 года, приведена в таблице 6.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6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90"/>
        <w:gridCol w:w="1842"/>
        <w:gridCol w:w="2318"/>
        <w:gridCol w:w="2118"/>
        <w:gridCol w:w="1555"/>
        <w:gridCol w:w="1041"/>
      </w:tblGrid>
      <w:tr>
        <w:trPr/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№№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Начало участка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Конец участка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Источник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Условный диаметр Д (мм)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Длина, м</w:t>
            </w:r>
          </w:p>
        </w:tc>
      </w:tr>
      <w:tr>
        <w:trPr/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6</w:t>
            </w:r>
          </w:p>
        </w:tc>
      </w:tr>
      <w:tr>
        <w:trPr/>
        <w:tc>
          <w:tcPr>
            <w:tcW w:w="97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2" w:name="_Hlk169859795"/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Капитальный ремонт </w:t>
            </w:r>
            <w:bookmarkEnd w:id="2"/>
            <w:r>
              <w:rPr>
                <w:rFonts w:cs="Times New Roman" w:ascii="Times New Roman" w:hAnsi="Times New Roman"/>
                <w:sz w:val="20"/>
                <w:szCs w:val="24"/>
              </w:rPr>
              <w:t>ветхих инженерных сетей теплоснабжения</w:t>
            </w:r>
          </w:p>
        </w:tc>
      </w:tr>
      <w:tr>
        <w:trPr>
          <w:trHeight w:val="651" w:hRule="atLeast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11"/>
              <w:spacing w:lineRule="auto" w:line="240" w:before="0" w:after="0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ТК-86А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ТК-86Б, жилой район Приморский, ул. Строительная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Котельная ж.р. Приморский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325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70</w:t>
            </w:r>
          </w:p>
        </w:tc>
      </w:tr>
      <w:tr>
        <w:trPr>
          <w:trHeight w:val="661" w:hRule="atLeast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11"/>
              <w:spacing w:lineRule="auto" w:line="240" w:before="0" w:after="0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ТК-15А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ТК-17Б, жилой район Приморский, ул. Приморская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Котельная ж.р. Приморский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89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40</w:t>
            </w:r>
          </w:p>
        </w:tc>
      </w:tr>
      <w:tr>
        <w:trPr>
          <w:trHeight w:val="661" w:hRule="atLeast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11"/>
              <w:spacing w:lineRule="auto" w:line="240" w:before="0" w:after="0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ТК-44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Т.А., жилой район Приморский, ул. Мира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Котельная ж.р. Приморский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159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25</w:t>
            </w:r>
          </w:p>
        </w:tc>
      </w:tr>
    </w:tbl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Финансовое обеспечение на период до конца 2025 года приведено в таблице 7.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тыс. руб.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7</w:t>
      </w:r>
    </w:p>
    <w:tbl>
      <w:tblPr>
        <w:tblW w:w="973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9"/>
        <w:gridCol w:w="3568"/>
        <w:gridCol w:w="2022"/>
        <w:gridCol w:w="1856"/>
        <w:gridCol w:w="1750"/>
      </w:tblGrid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проектов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Приморский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Рыбачий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п. Сельдевая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1991" w:hRule="atLeast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Новое строительство объектов генерации тепловой энергии и участков тепловых сетей для обеспечения перспективных приростов тепловых нагрузок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тепловых сетей, с увеличением диаметров трубопроводов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Прокладка тепловых сетей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тепловых сетей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18 140,89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593" w:hRule="atLeast"/>
        </w:trPr>
        <w:tc>
          <w:tcPr>
            <w:tcW w:w="4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ИТОГО:</w:t>
            </w:r>
          </w:p>
        </w:tc>
        <w:tc>
          <w:tcPr>
            <w:tcW w:w="5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aps/>
                <w:sz w:val="24"/>
                <w:szCs w:val="24"/>
              </w:rPr>
              <w:t>18 140,89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9. Баланс топливно-энергетических ресурсов для обеспечения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теплоснабжения, в том числе расходов аварийных запасов топлива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Актуализацией Схемы не предусматривается изменение сценария развития системы теплоснабжения Вилючинского городского округа до 31.12.2027 г.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Основное топливо для котельных ж.р. Приморский и ж.р. Рыбачий – мазут М-100 со средней теплотворной способностью 9778 ккал/кг.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настоящем разделе приведены показатели топливообеспечения для теплоснабжения потребителей на период до конца 2027 года. В качестве показателей приведены: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установленные перспективные объемы выработки тепловой энергии в течение 2027 года на каждой котельной;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установленные объемы потребления топливных ресурсов (основного и аварийного видов топлива) для обеспечения выработки тепловой энергии на каждом источнике;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величины удельного расхода топлива на выработку тепловой энергии.</w:t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таблицах № 8-10 приведены показатели баланса топливно-энергетических ресурсов котельных ж.р. Приморский, ж.р. Рыбачий и автономной котельной п. Сельдевая на 2025 год.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  <w:highlight w:val="yellow"/>
        </w:rPr>
      </w:pPr>
      <w:r>
        <w:rPr>
          <w:rFonts w:cs="Times New Roman" w:ascii="Times New Roman" w:hAnsi="Times New Roman"/>
          <w:sz w:val="28"/>
          <w:szCs w:val="24"/>
          <w:highlight w:val="yellow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Котельная ж.р. Приморский, ул. Приморская, 19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8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3"/>
        <w:gridCol w:w="3780"/>
        <w:gridCol w:w="1744"/>
        <w:gridCol w:w="1743"/>
        <w:gridCol w:w="1515"/>
      </w:tblGrid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69" w:hRule="atLeast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Выработка тепловой энергии (всего), в том 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106247,143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85424,211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14111,106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6711,826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Расход основного топлива - мазут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т.у.т.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18,272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Удельный расход топлива на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кг.у.т/Гкал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183,165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Котельная ж.р. Рыбачий, ул. Вилкова, 5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9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3"/>
        <w:gridCol w:w="3780"/>
        <w:gridCol w:w="1744"/>
        <w:gridCol w:w="1743"/>
        <w:gridCol w:w="1515"/>
      </w:tblGrid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69" w:hRule="atLeast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Выработка тепловой энергии (всего), в том 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75600,642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58165,658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10402,059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7032,925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Расход основного топлива - мазут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т.у.т.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11,868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Удельный расход топлива на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кг.у.т/Гкал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172,530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Автономная котельная п. Сельдевая, ул. Владивостокская, 4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10</w:t>
      </w:r>
    </w:p>
    <w:tbl>
      <w:tblPr>
        <w:tblW w:w="97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3"/>
        <w:gridCol w:w="3780"/>
        <w:gridCol w:w="1744"/>
        <w:gridCol w:w="1743"/>
        <w:gridCol w:w="1515"/>
      </w:tblGrid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Единицы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69" w:hRule="atLeast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Выработка тепловой энергии (всего), в том 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976,728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819,156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157,570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7" w:hRule="atLeast"/>
        </w:trPr>
        <w:tc>
          <w:tcPr>
            <w:tcW w:w="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Расход основного топлива - дизель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т.у.т.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0,184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Удельный расход топлива на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кг.у.т/Гкал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188,054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Поставка топлива осуществляется по заключенным договорам из мазутных резервуаров ТЭЦ-2.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Общая поставка мазута для выработки тепловой на котельных ж.р. Приморский, ж.р. Рыбачий в ОЗП 2024-2025 гг. составляет </w:t>
      </w:r>
      <w:bookmarkStart w:id="3" w:name="_Hlk199840248"/>
      <w:r>
        <w:rPr>
          <w:rFonts w:cs="Times New Roman" w:ascii="Times New Roman" w:hAnsi="Times New Roman"/>
          <w:sz w:val="28"/>
          <w:szCs w:val="24"/>
        </w:rPr>
        <w:t>34,950</w:t>
      </w:r>
      <w:bookmarkEnd w:id="3"/>
      <w:r>
        <w:rPr>
          <w:rFonts w:cs="Times New Roman" w:ascii="Times New Roman" w:hAnsi="Times New Roman"/>
          <w:sz w:val="28"/>
          <w:szCs w:val="24"/>
        </w:rPr>
        <w:t xml:space="preserve"> тыс. т.у.т.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ab/>
        <w:t>Прогнозируемый расход топливных ресурсов на 2025 год по источникам тепловой энергии и видам топлива приведен в таблице 11.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тыс. т.у.т.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Таблица 11</w:t>
      </w:r>
    </w:p>
    <w:tbl>
      <w:tblPr>
        <w:tblW w:w="9630" w:type="dxa"/>
        <w:jc w:val="left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0"/>
        <w:gridCol w:w="3150"/>
        <w:gridCol w:w="1140"/>
        <w:gridCol w:w="1052"/>
        <w:gridCol w:w="1171"/>
        <w:gridCol w:w="1497"/>
        <w:gridCol w:w="1079"/>
      </w:tblGrid>
      <w:tr>
        <w:trPr/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 топлива, тыс. т.у.т.</w:t>
            </w:r>
          </w:p>
        </w:tc>
        <w:tc>
          <w:tcPr>
            <w:tcW w:w="47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1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дизельное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мазут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Приморский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19,756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Котельная ж.р. Рыбачий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12,750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Автономная котельная п. Сельдевая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0,182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0,182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32,506</w:t>
            </w:r>
          </w:p>
        </w:tc>
      </w:tr>
    </w:tbl>
    <w:p>
      <w:pPr>
        <w:pStyle w:val="Standard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10. Финансовые потребности и источники их покрытия</w:t>
      </w:r>
    </w:p>
    <w:p>
      <w:pPr>
        <w:pStyle w:val="Standard"/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Книге 10 «Обоснование инвестиций в строительство, реконструкцию и техническое перевооружение» Схемы приведены обосновывающие предложения по развитию теплоснабжения города и подключению дополнительных потребителей и строящихся объектов. В обосновывающие материалы включены: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нормативно-правовая база для проведения расчетов;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применение индекс-дефляторов;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ставки дисконтирования.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В результате получена оценка экономической эффективности вариантов развития теплоснабжения города и определены прогнозный рост тарифов на тепловую энергию и расчеты ценовых последствий для потребителей при реализации программ строительства, реконструкции и технического перевооружения систем теплоснабжения. Актуализацией Схемы внесены изменения по распределению подключения потребителей по зонам теплоснабжения. Основываясь на расчетах и выводах, приведенных в Схеме, используя показатели, индексы-дефляторы, заложенные в Схему, в настоящем разделе приведены: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финансовые потребности, необходимые для реализации мероприятий по развитию теплоснабжения города до 31.12.2027 г.;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соответствие финансовых последствий результатам и параметрам, заложенным в Схеме;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источники покрытия инвестиций.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10.1. Финансовые потребности для реализации мероприятий</w:t>
      </w:r>
    </w:p>
    <w:p>
      <w:pPr>
        <w:pStyle w:val="Standard"/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Финансовые потребности по развитию источников тепловой энергии на период до 31.12.2025 включают в себя затраты на выполнение следующих мероприятий:</w:t>
      </w:r>
    </w:p>
    <w:p>
      <w:pPr>
        <w:pStyle w:val="Standard"/>
        <w:tabs>
          <w:tab w:val="clear" w:pos="708"/>
          <w:tab w:val="left" w:pos="993" w:leader="none"/>
        </w:tabs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замена (ремонт) теплообменников ЦАТП №1,2,3 и системы автоматического регулирования и контроля (котельная «Центральная» ж.р. Рыбачий);</w:t>
      </w:r>
    </w:p>
    <w:p>
      <w:pPr>
        <w:pStyle w:val="Standard"/>
        <w:tabs>
          <w:tab w:val="clear" w:pos="708"/>
          <w:tab w:val="left" w:pos="993" w:leader="none"/>
        </w:tabs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проектирование и ремонт здания котельной, дымовой трубы, газоходов (котельная «Центральная» ж.р. Рыбачий);</w:t>
      </w:r>
    </w:p>
    <w:p>
      <w:pPr>
        <w:pStyle w:val="Standard"/>
        <w:tabs>
          <w:tab w:val="clear" w:pos="708"/>
          <w:tab w:val="left" w:pos="993" w:leader="none"/>
        </w:tabs>
        <w:spacing w:lineRule="auto" w:line="240" w:before="0" w:after="0"/>
        <w:ind w:firstLine="75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- замена котла № 2 ДЕ-25-14ГМ с комплектом вспомогательного оборудования и автоматики (котельная «Центральная» ж.р. Рыбачий).</w:t>
      </w:r>
    </w:p>
    <w:p>
      <w:pPr>
        <w:pStyle w:val="Standard"/>
        <w:spacing w:lineRule="auto" w:line="240" w:before="0" w:after="0"/>
        <w:ind w:firstLine="187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Standard"/>
        <w:spacing w:lineRule="auto" w:line="240" w:before="0" w:after="0"/>
        <w:ind w:firstLine="754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Общий размер финансовых потребностей по развитию энергоисточников разработан на период 2019 – 2028 гг. и приведен в таблице 12 и составляет: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Таблица 12             </w:t>
      </w:r>
    </w:p>
    <w:p>
      <w:pPr>
        <w:pStyle w:val="Standard"/>
        <w:spacing w:lineRule="auto" w:line="24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12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7"/>
        <w:gridCol w:w="1336"/>
        <w:gridCol w:w="1186"/>
        <w:gridCol w:w="584"/>
        <w:gridCol w:w="12"/>
        <w:gridCol w:w="1039"/>
        <w:gridCol w:w="1027"/>
        <w:gridCol w:w="10"/>
        <w:gridCol w:w="1180"/>
        <w:gridCol w:w="6"/>
        <w:gridCol w:w="1029"/>
        <w:gridCol w:w="7"/>
        <w:gridCol w:w="893"/>
        <w:gridCol w:w="892"/>
        <w:gridCol w:w="1034"/>
        <w:gridCol w:w="898"/>
        <w:gridCol w:w="1049"/>
        <w:gridCol w:w="1033"/>
        <w:gridCol w:w="908"/>
      </w:tblGrid>
      <w:tr>
        <w:trPr>
          <w:tblHeader w:val="true"/>
        </w:trPr>
        <w:tc>
          <w:tcPr>
            <w:tcW w:w="44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п/п</w:t>
            </w:r>
          </w:p>
        </w:tc>
        <w:tc>
          <w:tcPr>
            <w:tcW w:w="133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1186" w:type="dxa"/>
            <w:vMerge w:val="restart"/>
            <w:tcBorders/>
            <w:textDirection w:val="btL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rFonts w:ascii="Times New Roman CYR" w:hAnsi="Times New Roman CYR"/>
                <w:b/>
                <w:bCs/>
                <w:color w:val="000000"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Описание и место расположения объекта</w:t>
            </w:r>
          </w:p>
        </w:tc>
        <w:tc>
          <w:tcPr>
            <w:tcW w:w="596" w:type="dxa"/>
            <w:gridSpan w:val="2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Период проведения мероприятия</w:t>
            </w:r>
          </w:p>
        </w:tc>
        <w:tc>
          <w:tcPr>
            <w:tcW w:w="1039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Планируемые затраты на мероприятие, тыс. рублей без НДС</w:t>
            </w:r>
          </w:p>
        </w:tc>
        <w:tc>
          <w:tcPr>
            <w:tcW w:w="9966" w:type="dxa"/>
            <w:gridSpan w:val="1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 w:ascii="Times New Roman CYR" w:hAnsi="Times New Roman CYR"/>
                <w:b/>
                <w:bCs/>
                <w:color w:val="000000"/>
                <w:kern w:val="0"/>
                <w:sz w:val="14"/>
                <w:szCs w:val="14"/>
                <w:lang w:val="ru-RU" w:eastAsia="en-US" w:bidi="ar-SA"/>
              </w:rPr>
              <w:t>Предельный размер финансирования на реконструкцию объекта концессионного соглашения, тыс. рублей без НДС по годам</w:t>
            </w:r>
          </w:p>
        </w:tc>
      </w:tr>
      <w:tr>
        <w:trPr>
          <w:tblHeader w:val="true"/>
          <w:trHeight w:val="1251" w:hRule="atLeast"/>
          <w:cantSplit w:val="true"/>
        </w:trPr>
        <w:tc>
          <w:tcPr>
            <w:tcW w:w="44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33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186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left="113" w:right="113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5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2019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2021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2022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2023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2024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2025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2026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2027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4"/>
                <w:szCs w:val="14"/>
              </w:rPr>
            </w:pPr>
            <w:r>
              <w:rPr>
                <w:rFonts w:eastAsia="Calibri" w:cs=""/>
                <w:b/>
                <w:bCs/>
                <w:kern w:val="0"/>
                <w:sz w:val="14"/>
                <w:szCs w:val="14"/>
                <w:lang w:val="ru-RU" w:eastAsia="en-US" w:bidi="ar-SA"/>
              </w:rPr>
              <w:t>2028</w:t>
            </w:r>
            <w:bookmarkStart w:id="4" w:name="_Hlk209507773"/>
            <w:bookmarkEnd w:id="4"/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Проектирование и восстановление конструкций здания котельной, проведение экспертизы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2019 - 2028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15 593,220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9 661,017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5 932,203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6 ДКВР-10/13, автоматики, экономайзера, газоходов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2021 - 2022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16 877,825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6 708,333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10 169,492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автоматики котлов марки ДКВР 10/13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2021 - 2021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2 473,166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2 473,166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4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1 ДЕ 25/14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2019 - 2020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14 738,701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9 322,034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5 416,667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2 ДЕ-25-14ГМ (комплекс)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2021 - 2022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18 387,561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7 709,595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10 677,966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(ремонт) теплообменников ЦАТП № 1,2,3 и системы автоматического регулирования и контроля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2024 - 2025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12 564,396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8 623,625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3 940,771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Ремонт мазутной емкости V-5000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2024 - 2024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10 448,608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10 448,608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Ремонт дымовой трубы, газоходов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2024 - 2028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17 967,131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1 865,436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7 627,119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8 474,576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9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Проектирование и ремонт здания котельной, дымовой трубы, газоходов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2023 - 2028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51 243,092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11 886,119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9 140,696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8 182,378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14 406,780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7 627,119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10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котла № 4 ДКВР 10/13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2020 - 2020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5 833,333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5 833,33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Модернизация системы диспетчеризации ЦАТП № 1,2,3 жилого района Рыбачий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2020 - 2020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2 083,333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2 083,333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12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Реконструкция системы пожаротушения на БР-1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2020 - 2021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6 833,284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3 658,193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3 175,092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13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насосного оборудования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947,360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947,360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14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солерастворителя С-1,0-1,0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179,539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179,539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15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насосного оборудования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  <w:lang w:val="en-US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1 149</w:t>
            </w: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,</w:t>
            </w: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155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en-US" w:eastAsia="en-US" w:bidi="ar-SA"/>
              </w:rPr>
              <w:t>0</w:t>
            </w: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1 149,155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16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мазутных емкостей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5 827,882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5 827,882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17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насосного оборудования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"Автономная"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41,790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41,790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18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Капитальный ремонт (замена) котлоагрегата OLB-2000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"Автономная"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2023 - 2023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567,785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567,785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19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Замена котла № 3 ДЕ-25-14ГМ с комплектом вспомогательного оборудования и автоматики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2025 - 2026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22 380,223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8 528,702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13 851,520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Монтаж инженерно-технических средств охраны опасного производственного объекта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Приморский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2020 - 2024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2 279,442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1 250,000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696,525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332,917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1134" w:hRule="atLeast"/>
          <w:cantSplit w:val="true"/>
        </w:trPr>
        <w:tc>
          <w:tcPr>
            <w:tcW w:w="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21</w:t>
            </w:r>
          </w:p>
        </w:tc>
        <w:tc>
          <w:tcPr>
            <w:tcW w:w="133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Монтаж инженерно-технических средств охраны опасного производственного объекта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Котельная "Центральная" жилого района Рыбачий</w:t>
            </w:r>
          </w:p>
        </w:tc>
        <w:tc>
          <w:tcPr>
            <w:tcW w:w="59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2020 - 2024</w:t>
            </w:r>
          </w:p>
        </w:tc>
        <w:tc>
          <w:tcPr>
            <w:tcW w:w="103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2 176,395</w:t>
            </w:r>
          </w:p>
        </w:tc>
        <w:tc>
          <w:tcPr>
            <w:tcW w:w="10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1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1 250,000</w:t>
            </w:r>
          </w:p>
        </w:tc>
        <w:tc>
          <w:tcPr>
            <w:tcW w:w="10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586,812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339,583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0,00</w:t>
            </w:r>
          </w:p>
        </w:tc>
      </w:tr>
      <w:tr>
        <w:trPr>
          <w:trHeight w:val="344" w:hRule="atLeast"/>
          <w:cantSplit w:val="true"/>
        </w:trPr>
        <w:tc>
          <w:tcPr>
            <w:tcW w:w="3553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right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ИТОГО:</w:t>
            </w:r>
          </w:p>
        </w:tc>
        <w:tc>
          <w:tcPr>
            <w:tcW w:w="105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210 593,220</w:t>
            </w:r>
          </w:p>
        </w:tc>
        <w:tc>
          <w:tcPr>
            <w:tcW w:w="102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18 983,051</w:t>
            </w:r>
          </w:p>
        </w:tc>
        <w:tc>
          <w:tcPr>
            <w:tcW w:w="119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19 491,526</w:t>
            </w:r>
          </w:p>
        </w:tc>
        <w:tc>
          <w:tcPr>
            <w:tcW w:w="103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20 762,711</w:t>
            </w:r>
          </w:p>
        </w:tc>
        <w:tc>
          <w:tcPr>
            <w:tcW w:w="9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20 847,458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21 186,441</w:t>
            </w:r>
          </w:p>
        </w:tc>
        <w:tc>
          <w:tcPr>
            <w:tcW w:w="10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21 610,169</w:t>
            </w:r>
          </w:p>
        </w:tc>
        <w:tc>
          <w:tcPr>
            <w:tcW w:w="8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21 610,169</w:t>
            </w:r>
          </w:p>
        </w:tc>
        <w:tc>
          <w:tcPr>
            <w:tcW w:w="10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22 033,898</w:t>
            </w:r>
          </w:p>
        </w:tc>
        <w:tc>
          <w:tcPr>
            <w:tcW w:w="103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22 033,898</w:t>
            </w:r>
          </w:p>
        </w:tc>
        <w:tc>
          <w:tcPr>
            <w:tcW w:w="90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textAlignment w:val="auto"/>
              <w:rPr>
                <w:b/>
                <w:bCs/>
                <w:sz w:val="12"/>
                <w:szCs w:val="12"/>
              </w:rPr>
            </w:pPr>
            <w:r>
              <w:rPr>
                <w:rFonts w:eastAsia="Calibri" w:cs=""/>
                <w:b/>
                <w:bCs/>
                <w:kern w:val="0"/>
                <w:sz w:val="12"/>
                <w:szCs w:val="12"/>
                <w:lang w:val="ru-RU" w:eastAsia="en-US" w:bidi="ar-SA"/>
              </w:rPr>
              <w:t>22 033,898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Standard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таблице 13 приведены значения финансовых потребностей на развитие тепловых сетей на период до конца 2025 года.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Таблица 13                   </w:t>
      </w:r>
    </w:p>
    <w:tbl>
      <w:tblPr>
        <w:tblW w:w="975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3"/>
        <w:gridCol w:w="5720"/>
        <w:gridCol w:w="3067"/>
      </w:tblGrid>
      <w:tr>
        <w:trPr>
          <w:trHeight w:val="575" w:hRule="atLeast"/>
        </w:trPr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проектов по тепловым сетям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финансовых потребностей на 2025 год, тыс. руб.</w:t>
            </w:r>
          </w:p>
        </w:tc>
      </w:tr>
      <w:tr>
        <w:trPr/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1172" w:hRule="atLeast"/>
        </w:trPr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Капитальный ремонт тепловых сетей без увеличения диаметров, в связи с исчерпанием ресурса (за счет средств Краевого бюджета):</w:t>
            </w:r>
          </w:p>
          <w:p>
            <w:pPr>
              <w:pStyle w:val="Standard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 котельной ж.р. Приморский.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18 140,89</w:t>
            </w:r>
          </w:p>
        </w:tc>
      </w:tr>
      <w:tr>
        <w:trPr>
          <w:trHeight w:val="349" w:hRule="atLeast"/>
        </w:trPr>
        <w:tc>
          <w:tcPr>
            <w:tcW w:w="6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18 140,89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10.2. Источники покрытия инвестиций</w:t>
      </w:r>
    </w:p>
    <w:p>
      <w:pPr>
        <w:pStyle w:val="Standard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Развитие системы теплоснабжения Вилючинского городского округа на период до 31.12.2027 г. предусматривает, как развитие энергоисточников, так и развитие тепловых сетей.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ab/>
        <w:t xml:space="preserve">Мероприятия, обозначенные в настоящей программе, планируется осуществить в счет средств федерального бюджета, субсидий из краевого и местного бюджетов, а также средств, предусмотренных Концессионным соглашением между администрацией Вилючинского городского округа и </w:t>
        <w:br/>
        <w:t>АО «Камчатэнергосервис».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11. Внесение изменений в Схему в соответствии с поступившими предложениями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4"/>
        </w:rPr>
        <w:t>Постановлением администрации Вилючинского городского округа от 11.01.2016 № 2 определена единая теплоснабжающая организация Вилючинского городского округа - АО «Камчатэнергосервис». Зона деятельности единой теплоснабжающей организации установлена в соответствии с границами Вилючинского городского округа.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302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07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27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07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6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887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07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Heading1">
    <w:name w:val="Heading 1"/>
    <w:basedOn w:val="Standard"/>
    <w:next w:val="Textbody"/>
    <w:qFormat/>
    <w:pPr>
      <w:keepNext w:val="true"/>
      <w:spacing w:lineRule="auto" w:line="240" w:before="240" w:after="0"/>
      <w:jc w:val="center"/>
      <w:outlineLvl w:val="0"/>
    </w:pPr>
    <w:rPr>
      <w:rFonts w:ascii="Times New Roman" w:hAnsi="Times New Roman" w:eastAsia="Times New Roman" w:cs="Times New Roman"/>
      <w:b/>
      <w:spacing w:val="200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pacing w:val="200"/>
      <w:sz w:val="40"/>
      <w:szCs w:val="20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4" w:customStyle="1">
    <w:name w:val="Цветовое выделение"/>
    <w:qFormat/>
    <w:rPr>
      <w:b/>
      <w:color w:val="26282F"/>
    </w:rPr>
  </w:style>
  <w:style w:type="character" w:styleId="Style1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16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Fontstyle01" w:customStyle="1">
    <w:name w:val="fontstyle01"/>
    <w:basedOn w:val="DefaultParagraphFont"/>
    <w:qFormat/>
    <w:rsid w:val="00767a66"/>
    <w:rPr>
      <w:rFonts w:ascii="Arial" w:hAnsi="Arial" w:cs="Arial"/>
      <w:b w:val="false"/>
      <w:bCs w:val="false"/>
      <w:i w:val="false"/>
      <w:iCs w:val="false"/>
      <w:color w:val="000000"/>
      <w:sz w:val="18"/>
      <w:szCs w:val="18"/>
    </w:rPr>
  </w:style>
  <w:style w:type="character" w:styleId="Fontstyle21" w:customStyle="1">
    <w:name w:val="fontstyle21"/>
    <w:basedOn w:val="DefaultParagraphFont"/>
    <w:qFormat/>
    <w:rsid w:val="00767a66"/>
    <w:rPr>
      <w:rFonts w:ascii="Calibri" w:hAnsi="Calibri" w:cs="Calibri"/>
      <w:b w:val="false"/>
      <w:bCs w:val="false"/>
      <w:i w:val="false"/>
      <w:iCs w:val="false"/>
      <w:color w:val="000000"/>
      <w:sz w:val="22"/>
      <w:szCs w:val="22"/>
    </w:rPr>
  </w:style>
  <w:style w:type="character" w:styleId="Fontstyle31" w:customStyle="1">
    <w:name w:val="fontstyle31"/>
    <w:basedOn w:val="DefaultParagraphFont"/>
    <w:qFormat/>
    <w:rsid w:val="00ce23fe"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e43453"/>
    <w:rPr>
      <w:sz w:val="20"/>
      <w:szCs w:val="20"/>
    </w:rPr>
  </w:style>
  <w:style w:type="character" w:styleId="Style19">
    <w:name w:val="Символ сноски"/>
    <w:uiPriority w:val="99"/>
    <w:semiHidden/>
    <w:unhideWhenUsed/>
    <w:qFormat/>
    <w:rsid w:val="00e4345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0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 w:customStyle="1">
    <w:name w:val="Указатель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распоряжение"/>
    <w:basedOn w:val="Standard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b/>
      <w:bCs/>
      <w:color w:val="auto"/>
      <w:kern w:val="2"/>
      <w:sz w:val="24"/>
      <w:szCs w:val="24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Footer">
    <w:name w:val="Foot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11" w:customStyle="1">
    <w:name w:val="Абзац списка1"/>
    <w:basedOn w:val="Standard"/>
    <w:qFormat/>
    <w:pPr>
      <w:ind w:left="720"/>
    </w:pPr>
    <w:rPr>
      <w:rFonts w:eastAsia="Times New Roman" w:cs="Times New Roman"/>
      <w:lang w:eastAsia="en-US"/>
    </w:rPr>
  </w:style>
  <w:style w:type="paragraph" w:styleId="Header">
    <w:name w:val="Header"/>
    <w:basedOn w:val="Standard"/>
    <w:pPr>
      <w:suppressLineNumbers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lineRule="auto" w:line="240" w:before="0" w:after="0"/>
      <w:ind w:right="19772"/>
      <w:jc w:val="left"/>
      <w:textAlignment w:val="baseline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ListParagraph">
    <w:name w:val="List Paragraph"/>
    <w:basedOn w:val="Standard"/>
    <w:qFormat/>
    <w:pPr>
      <w:spacing w:lineRule="auto" w:line="240" w:before="0" w:after="0"/>
      <w:ind w:left="72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Standard"/>
    <w:qFormat/>
    <w:pPr>
      <w:suppressLineNumbers/>
    </w:pPr>
    <w:rPr/>
  </w:style>
  <w:style w:type="paragraph" w:styleId="FootnoteText">
    <w:name w:val="Footnote Text"/>
    <w:basedOn w:val="Normal"/>
    <w:link w:val="Style18"/>
    <w:uiPriority w:val="99"/>
    <w:semiHidden/>
    <w:unhideWhenUsed/>
    <w:rsid w:val="00e43453"/>
    <w:pPr>
      <w:spacing w:lineRule="auto" w:line="240" w:before="0" w:after="0"/>
    </w:pPr>
    <w:rPr>
      <w:sz w:val="20"/>
      <w:szCs w:val="20"/>
    </w:rPr>
  </w:style>
  <w:style w:type="paragraph" w:styleId="Caption11">
    <w:name w:val="caption11"/>
    <w:qFormat/>
    <w:pPr>
      <w:widowControl/>
      <w:suppressAutoHyphens w:val="true"/>
      <w:bidi w:val="0"/>
      <w:spacing w:lineRule="auto" w:line="276" w:before="120" w:after="120"/>
      <w:jc w:val="left"/>
      <w:textAlignment w:val="baseline"/>
    </w:pPr>
    <w:rPr>
      <w:rFonts w:ascii="Calibri" w:hAnsi="Calibri" w:eastAsia="SimSun" w:cs="Mangal"/>
      <w:i/>
      <w:iCs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942823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1">
    <w:name w:val="Table Grid"/>
    <w:basedOn w:val="a1"/>
    <w:uiPriority w:val="59"/>
    <w:rsid w:val="009428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9F3E-215D-4375-ABFA-ADAF70B5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Application>LibreOffice/7.6.7.2$Linux_X86_64 LibreOffice_project/60$Build-2</Application>
  <AppVersion>15.0000</AppVersion>
  <Pages>28</Pages>
  <Words>5880</Words>
  <Characters>37691</Characters>
  <CharactersWithSpaces>41267</CharactersWithSpaces>
  <Paragraphs>2689</Paragraphs>
  <Company>Администрация ВГО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dcterms:modified xsi:type="dcterms:W3CDTF">2026-01-28T09:56:53Z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