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04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875"/>
      </w:tblGrid>
      <w:tr>
        <w:trPr>
          <w:trHeight w:val="1701" w:hRule="atLeast"/>
        </w:trPr>
        <w:tc>
          <w:tcPr>
            <w:tcW w:w="4928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875" w:type="dxa"/>
            <w:tcBorders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к постановлению  администрации Вилючинского городского округа</w:t>
            </w:r>
          </w:p>
          <w:p>
            <w:pPr>
              <w:pStyle w:val="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none"/>
              </w:rPr>
              <w:t>___________ № ____</w:t>
            </w:r>
          </w:p>
        </w:tc>
      </w:tr>
    </w:tbl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b/>
          <w:bCs/>
          <w:sz w:val="28"/>
        </w:rPr>
        <w:t xml:space="preserve">предоставления </w:t>
      </w:r>
      <w:r>
        <w:rPr>
          <w:rStyle w:val="Style14"/>
          <w:rFonts w:ascii="Times New Roman" w:hAnsi="Times New Roman"/>
          <w:b/>
          <w:bCs/>
          <w:sz w:val="28"/>
        </w:rPr>
        <w:t>о</w:t>
      </w:r>
      <w:r>
        <w:rPr>
          <w:rStyle w:val="Style14"/>
          <w:rFonts w:ascii="Times New Roman" w:hAnsi="Times New Roman"/>
          <w:b/>
          <w:bCs/>
          <w:sz w:val="28"/>
          <w:szCs w:val="28"/>
          <w:shd w:fill="auto" w:val="clear"/>
        </w:rPr>
        <w:t xml:space="preserve">бщественной организации «Городской совет ветеранов (пенсионеров) войны, труда, Вооруженных сил и правоохранительных органов» города Вилючинска </w:t>
      </w:r>
      <w:r>
        <w:rPr>
          <w:rStyle w:val="Style14"/>
          <w:rFonts w:ascii="Times New Roman" w:hAnsi="Times New Roman"/>
          <w:b/>
          <w:bCs/>
          <w:sz w:val="28"/>
        </w:rPr>
        <w:t>субсидий на финансовое обеспечение затрат д</w:t>
      </w:r>
      <w:r>
        <w:rPr>
          <w:rStyle w:val="Style14"/>
          <w:rFonts w:ascii="Times New Roman" w:hAnsi="Times New Roman"/>
          <w:b/>
          <w:bCs/>
          <w:sz w:val="28"/>
          <w:szCs w:val="28"/>
        </w:rPr>
        <w:t>ля обустройства мест захоронения погибших участников специальной военной операции  на 2025 год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2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>
      <w:pPr>
        <w:pStyle w:val="Normal"/>
        <w:numPr>
          <w:ilvl w:val="1"/>
          <w:numId w:val="21"/>
        </w:numPr>
        <w:tabs>
          <w:tab w:val="clear" w:pos="709"/>
        </w:tabs>
        <w:ind w:firstLine="720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Настоящий Порядок разработан в соответствии с действующим законодательством Российской Федерации, Уставом Вилючинского городского округа с целью оказания финансовой помощи для обустройства мест захоронения погибших участников специальной военной операции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общественной организации «Городской совет ветеранов (пенсионеров) войны, труда, Вооруженных сил и правоохранительных органов» города Вилючинска</w:t>
      </w:r>
      <w:r>
        <w:rPr>
          <w:rStyle w:val="Style14"/>
          <w:rFonts w:ascii="Times New Roman" w:hAnsi="Times New Roman"/>
          <w:sz w:val="28"/>
          <w:szCs w:val="28"/>
          <w:shd w:fill="FFFF00" w:val="clear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 xml:space="preserve">на 2025 год, за счет средств местного бюджета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Вилючинского городского округа</w:t>
      </w:r>
      <w:r>
        <w:rPr>
          <w:rStyle w:val="Style14"/>
          <w:rFonts w:ascii="Times New Roman" w:hAnsi="Times New Roman"/>
          <w:sz w:val="28"/>
          <w:szCs w:val="28"/>
        </w:rPr>
        <w:t>.</w:t>
      </w:r>
    </w:p>
    <w:p>
      <w:pPr>
        <w:pStyle w:val="Normal"/>
        <w:numPr>
          <w:ilvl w:val="1"/>
          <w:numId w:val="22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определяет цели, условия и порядок предоставления субсидии и возврата данной субсидии в случае нарушения условий, установленных при ее предоставлении.</w:t>
      </w:r>
    </w:p>
    <w:p>
      <w:pPr>
        <w:pStyle w:val="Normal"/>
        <w:numPr>
          <w:ilvl w:val="1"/>
          <w:numId w:val="23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Целью расходов субсидии в соответствии с муниципальной программой «</w:t>
      </w:r>
      <w:r>
        <w:rPr>
          <w:rFonts w:eastAsia="NSimSun" w:cs="Mangal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000000"/>
          <w:spacing w:val="0"/>
          <w:w w:val="100"/>
          <w:kern w:val="2"/>
          <w:position w:val="0"/>
          <w:sz w:val="28"/>
          <w:sz w:val="28"/>
          <w:szCs w:val="28"/>
          <w:u w:val="none"/>
          <w:shd w:fill="auto" w:val="clear"/>
          <w:vertAlign w:val="baseline"/>
          <w:em w:val="none"/>
          <w:lang w:val="ru-RU" w:eastAsia="zh-CN" w:bidi="hi-IN"/>
        </w:rPr>
        <w:t xml:space="preserve">Реализация государственной национальной политики и укрепление гражданского единства в Вилючинском городском округе» </w:t>
      </w:r>
      <w:r>
        <w:rPr>
          <w:rStyle w:val="Style14"/>
          <w:rFonts w:ascii="Times New Roman" w:hAnsi="Times New Roman"/>
          <w:sz w:val="28"/>
          <w:szCs w:val="28"/>
        </w:rPr>
        <w:t xml:space="preserve">является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обустройств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о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 xml:space="preserve"> мест захоронения погибших участников специальной военной операции </w:t>
      </w:r>
      <w:r>
        <w:rPr>
          <w:rStyle w:val="Style14"/>
          <w:rFonts w:ascii="Times New Roman" w:hAnsi="Times New Roman"/>
          <w:b w:val="false"/>
          <w:bCs w:val="false"/>
          <w:sz w:val="28"/>
          <w:szCs w:val="28"/>
        </w:rPr>
        <w:t>(</w:t>
      </w:r>
      <w:r>
        <w:rPr>
          <w:rStyle w:val="Style14"/>
          <w:rFonts w:ascii="Times New Roman" w:hAnsi="Times New Roman"/>
          <w:sz w:val="28"/>
          <w:szCs w:val="28"/>
        </w:rPr>
        <w:t>приобретение памятник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ов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)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.</w:t>
      </w:r>
    </w:p>
    <w:p>
      <w:pPr>
        <w:pStyle w:val="Normal"/>
        <w:numPr>
          <w:ilvl w:val="1"/>
          <w:numId w:val="2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субсидий осуществляет главный распорядитель средств местного бюджета – Администраци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Вилючинского городского округа в лице отдела</w:t>
      </w:r>
      <w:r>
        <w:rPr>
          <w:rFonts w:ascii="Times New Roman" w:hAnsi="Times New Roman"/>
          <w:sz w:val="28"/>
          <w:szCs w:val="28"/>
          <w:u w:val="none"/>
        </w:rPr>
        <w:t xml:space="preserve"> по внутренней и информационной политике </w:t>
      </w:r>
      <w:r>
        <w:rPr>
          <w:rFonts w:ascii="Times New Roman" w:hAnsi="Times New Roman"/>
          <w:sz w:val="28"/>
          <w:szCs w:val="28"/>
          <w:u w:val="none"/>
        </w:rPr>
        <w:t xml:space="preserve">аппарата </w:t>
      </w:r>
      <w:r>
        <w:rPr>
          <w:rFonts w:ascii="Times New Roman" w:hAnsi="Times New Roman"/>
          <w:sz w:val="28"/>
          <w:szCs w:val="28"/>
          <w:u w:val="none"/>
        </w:rPr>
        <w:t xml:space="preserve">администрации Вилючинского городского округа </w:t>
      </w:r>
      <w:r>
        <w:rPr>
          <w:rFonts w:eastAsia="NSimSun" w:cs="Mangal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111111"/>
          <w:spacing w:val="0"/>
          <w:w w:val="100"/>
          <w:kern w:val="2"/>
          <w:position w:val="0"/>
          <w:sz w:val="28"/>
          <w:sz w:val="28"/>
          <w:szCs w:val="28"/>
          <w:u w:val="none"/>
          <w:shd w:fill="auto" w:val="clear"/>
          <w:vertAlign w:val="baseline"/>
          <w:em w:val="none"/>
          <w:lang w:val="ru-RU" w:eastAsia="zh-CN" w:bidi="hi-IN"/>
        </w:rPr>
        <w:t>(</w:t>
      </w:r>
      <w:r>
        <w:rPr>
          <w:rFonts w:ascii="Times New Roman" w:hAnsi="Times New Roman"/>
          <w:sz w:val="28"/>
          <w:szCs w:val="28"/>
          <w:u w:val="none"/>
        </w:rPr>
        <w:t>д</w:t>
      </w:r>
      <w:r>
        <w:rPr>
          <w:rFonts w:ascii="Times New Roman" w:hAnsi="Times New Roman"/>
          <w:sz w:val="28"/>
          <w:szCs w:val="28"/>
        </w:rPr>
        <w:t>алее – Администрация) на безвозмездной и безвозвратной основе,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 на соответствующий финансовый год.</w:t>
      </w:r>
    </w:p>
    <w:p>
      <w:pPr>
        <w:pStyle w:val="Normal"/>
        <w:numPr>
          <w:ilvl w:val="1"/>
          <w:numId w:val="25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Получателем субсидии является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общественная организация «Городской совет ветеранов (пенсионеров) войны, труда, Вооруженных сил и правоохранительных органов» города Вилючинска</w:t>
      </w:r>
      <w:r>
        <w:rPr>
          <w:rStyle w:val="Style14"/>
          <w:rFonts w:ascii="Times New Roman" w:hAnsi="Times New Roman"/>
          <w:sz w:val="28"/>
          <w:szCs w:val="28"/>
        </w:rPr>
        <w:t xml:space="preserve"> (далее – Получатель) в соответствии с Решением Думы Вилючинского городского округа от 20.12.2024 № 432/86-7 «О местном бюджете на 2025 год и на плановый период 2026 и 2027 годов».</w:t>
      </w:r>
    </w:p>
    <w:p>
      <w:pPr>
        <w:pStyle w:val="Normal"/>
        <w:numPr>
          <w:ilvl w:val="1"/>
          <w:numId w:val="26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субсидиях размещаются на едином портале бюджетной системы Российской Федерации в информационно-телекоммуникационной сети «Интернет» (далее — единый портал) (в разделе единого портала) информации о субсидии в порядке, установленном Министерством финансов Российской Федерации.</w:t>
      </w:r>
    </w:p>
    <w:p>
      <w:pPr>
        <w:pStyle w:val="Normal"/>
        <w:numPr>
          <w:ilvl w:val="1"/>
          <w:numId w:val="27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предоставления субсидии — финансовое обеспечение затрат.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28"/>
        </w:numPr>
        <w:jc w:val="center"/>
        <w:rPr/>
      </w:pPr>
      <w:r>
        <w:rPr>
          <w:rStyle w:val="Style14"/>
          <w:rFonts w:ascii="Times New Roman" w:hAnsi="Times New Roman"/>
          <w:b/>
          <w:sz w:val="28"/>
          <w:szCs w:val="28"/>
        </w:rPr>
        <w:t>Условия и порядок предоставления субсидии</w:t>
      </w:r>
    </w:p>
    <w:p>
      <w:pPr>
        <w:pStyle w:val="Normal"/>
        <w:numPr>
          <w:ilvl w:val="1"/>
          <w:numId w:val="29"/>
        </w:numPr>
        <w:tabs>
          <w:tab w:val="clear" w:pos="709"/>
        </w:tabs>
        <w:ind w:firstLine="720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предоставления субсидии являются следующие документы: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 предоставлении субсидии по форме согласно приложению к настоящему Порядку, подписанное руководителем Получателя субсидии (далее – Заявление);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выписка из Единого государственного реестра юридических лиц по состоянию на дату, предшеству</w:t>
      </w:r>
      <w:r>
        <w:rPr>
          <w:rFonts w:ascii="Times New Roman" w:hAnsi="Times New Roman"/>
          <w:sz w:val="28"/>
          <w:szCs w:val="28"/>
        </w:rPr>
        <w:t>ющей</w:t>
      </w:r>
      <w:r>
        <w:rPr>
          <w:rFonts w:ascii="Times New Roman" w:hAnsi="Times New Roman"/>
          <w:sz w:val="28"/>
          <w:szCs w:val="28"/>
        </w:rPr>
        <w:t xml:space="preserve"> дате подачи Заявления не более чем на 30 дней;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смета расходов, источником финансового обеспечения которых является субсидия;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справка, подтверждающая, что Получатель субсидии соответствует требованиям, указанным в пункте 2.13 настоящего Порядка;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согласие на публикацию (размещение) в сети «Интернет» информации о Получателе субсидии, о подаваемой Получателем субсидии заявке, а также на обработку персональных данных руководителя Получателя субсидии.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Выписку из Единого государственного реестра юридических лиц Администрация запрашивает самостоятельно в рамках межведомственного информационного взаимодействия. Получатель субсидии вправе предоставить выписку из Единого государственного реестра юридических лиц по собственной инициативе.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 Направлением расходов субсидии является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приобретение памятников.  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Администрация рассматривает поступившие документы в течение 5 (пяти) рабочих дней со дня их регистрации. Администрация осуществляет проверку достоверности сведений, представляемых Получателем субсидии, и принимает решение о предоставлении субсидии или об отказе в предоставлении субсидии, о чем в течение 3 (трех) рабочих дней, следующих за днем окончания рассмотрения документов Получатель субсидии информируется в письменной форме.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Основанием для отказа в предоставлении субсидии являются: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представленных Получателем субсидии документов требованиям установленным настоящим Порядком или непредставление (представление не в полном объеме) указанных документов;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факта недостоверности представленной Получателем субсидии информации.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Субсидия предоставляется за счет средств бюджета Вилючинского городского округа. Размер Субсидии определен Решением Думы Вилючинского городского округа от 20.12.2024 № 432/86-7 «О местном бюджете на 2025 год и на плановый период 2026 и 2027 годов». Размер субсидии не может превышать размер утвержденных лимитов бюджетных обязательств на текущий финансовый год на данные цели.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Получатель субсидии, в отношении которого принято решение о предоставлении субсидии, в течение 5 (пяти) рабочих дней со дня принятия такого решения заключает с Администрацией Соглашение.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Соглашени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заключается в соответствии с типовой формой, установленной приказом финансового управления администрации Вилючинского городского округа от 30.06.2023 № 55 (с изменениями) «Об утверждении типовой формы соглашения (договора) о предоставлении из местного бюджета субсидий, в том числе грантов в форме субсидий, юридическим лицам, индивидуальным предпринимателям, а также физическим лицам» (далее — Приказ № 55).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В Соглашении предусматриваются следующие условия: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целевое назначение и размер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предоставления отчетности об использовании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сроки возврата Получателем субсидии средств Субсидии в случае выявления факта ее нецелевого использования;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и срок возврата неиспользованных в текущем финансовом году средств Субсидии;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запрет приобретения Получателем субсидии, а также иными юридическими лицами на основании договоров, заключенных с Получателем субсидии, иностранной валюты за счет полученных средств,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согласие Получателя субсидии, лиц, получающих средства на основании договоров, заключенных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Администрацией на соблюдение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статьями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 xml:space="preserve">268.1 и 269.2 </w:t>
      </w:r>
      <w:r>
        <w:rPr>
          <w:rStyle w:val="Style14"/>
          <w:rFonts w:ascii="Times New Roman" w:hAnsi="Times New Roman"/>
          <w:sz w:val="28"/>
          <w:szCs w:val="28"/>
        </w:rPr>
        <w:t>Бюджетного кодекса Российской Федерации и на включение таких положений в Соглашение;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-  результаты предоставления Субсидии:</w:t>
      </w: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под которыми понимаются количество приобретенн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ых памятников;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- показатели, необходимые для достижения результатов предоставления Субсидии: </w:t>
      </w:r>
      <w:r>
        <w:rPr>
          <w:rStyle w:val="Style14"/>
          <w:rFonts w:ascii="Times New Roman" w:hAnsi="Times New Roman"/>
          <w:sz w:val="28"/>
          <w:shd w:fill="auto" w:val="clear"/>
        </w:rPr>
        <w:t>наличие памятников;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заключается дополнительное соглашение к Соглашению о согласовании новых условий Соглашения или дополнительное соглашение о расторжении Соглашения при не достижении согласия по новым условиям.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Субсидия перечисляется Администрацией на расчетный счет Получателя субсидии, открытый в кредитной организации, в пределах доведенных объемов финансирования в соответствии с условиями и в срок, определенные Соглашением.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 Получатель субсидии после зачисления субсидии на расчетный счет обязан в срок, установленный Соглашением, представить в Администрацию сведения о достигнутых результатах предоставления субсидии, под которыми понимаются количество приобретенных </w:t>
      </w:r>
      <w:r>
        <w:rPr>
          <w:rFonts w:ascii="Times New Roman" w:hAnsi="Times New Roman"/>
          <w:sz w:val="28"/>
          <w:szCs w:val="28"/>
          <w:shd w:fill="auto" w:val="clear"/>
        </w:rPr>
        <w:t>памятников, за</w:t>
      </w:r>
      <w:r>
        <w:rPr>
          <w:rFonts w:ascii="Times New Roman" w:hAnsi="Times New Roman"/>
          <w:sz w:val="28"/>
          <w:szCs w:val="28"/>
        </w:rPr>
        <w:t>веренные копии платежных поручений, договоров, актов выполненных работ и прочих документов (при необходимости) подтверждающих расходование средств по направлению расходов, указанных в п. 2.2 настоящего Порядка.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2.11.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Вилючинского городского округа.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Требования, которым должен соответствовать Получатель субсидии на первое число месяца предшествующего месяцу, в котором планируется заключение Соглашения: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получать средства из бюджета Вилючинского городского округа на цели, указанные в пункте 1.3 Порядка, в соответствии с иными нормативными правовыми актами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 Получателя субсидии должна отсутствовать или не превышать размер, определенный п. 3 ст. 47 Налогового кодекса задолженность по уплате налогов, сборов и страховых взносов в бюджеты бюджетной системы  Российской Федерации, а также отсутствовать просроченная задолженность по возврату в бюджет Вилючинского городского округа субсидий, бюджетных инвестиций, представленных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Вилючинского городского округа;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процессе реорганизации (за исключением реорганизации в форме присоединения к юридическому лицу, являющемуся получателем субсидии),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реестре дисквалифицированных лиц отсутствуют сведения о дисквалифицированном руководителе или главном бухгалтере Получателя субсидии;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являться иностранным юридическим лицом, в том числе местом регистрации которого является государство или территория, включенная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влиянием»;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Получатель субсидии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- Получатель субсидии не находится в составляемых в рамках реализации полномочий, предусмотренных главой </w:t>
      </w:r>
      <w:r>
        <w:rPr>
          <w:rStyle w:val="Style14"/>
          <w:rFonts w:ascii="Times New Roman" w:hAnsi="Times New Roman"/>
          <w:sz w:val="28"/>
          <w:szCs w:val="28"/>
          <w:lang w:val="en-US"/>
        </w:rPr>
        <w:t>VII</w:t>
      </w:r>
      <w:r>
        <w:rPr>
          <w:rStyle w:val="Style14"/>
          <w:rFonts w:ascii="Times New Roman" w:hAnsi="Times New Roman"/>
          <w:sz w:val="28"/>
          <w:szCs w:val="28"/>
        </w:rPr>
        <w:t xml:space="preserve"> Устава ООН, Советом Безопасности ООН и органами, специально созданными решениями Совета Безопасности ООН, перечнях организаций, связанных с террористическими организациями и террористами или распространением оружия массового поражения.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самостоятельно получает сведения о Получателе субсидии из 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диного государственного реестра юридических лиц, осуществляет сверку информации на официальном сайте Федеральной налоговой службы на странице «Поиск сведений в реестре дисквалифицированных лиц», на официальном сайте Росфинмониторинга на странице «Перечень организаций и физических лиц, в отношении которых имеются сведения об их причастности к экстремистской деятельности или терроризму», запрашивает у главных распорядителей бюджетных средств Вилючинского городского округа о просроченной задолженности перед бюджетом Вилючинского городского округа в срок до 30 дней.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30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отчетности</w:t>
      </w:r>
    </w:p>
    <w:p>
      <w:pPr>
        <w:pStyle w:val="Normal"/>
        <w:numPr>
          <w:ilvl w:val="1"/>
          <w:numId w:val="3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Получатель субсидии предоставляет в Администрацию:</w:t>
      </w:r>
    </w:p>
    <w:p>
      <w:pPr>
        <w:pStyle w:val="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отчет об осуществлении расходов, источником финансового обеспечения которых является субсидия по форме, определенной Приказом № 55, ежеквартально в срок до 01 числа месяца, следующего за отчетным периодом, до момента окончательного использования Получателем субсидии денежных средств, не по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зднее </w:t>
      </w:r>
      <w:r>
        <w:rPr>
          <w:rFonts w:ascii="Times New Roman" w:hAnsi="Times New Roman"/>
          <w:sz w:val="28"/>
          <w:szCs w:val="28"/>
          <w:shd w:fill="auto" w:val="clear"/>
        </w:rPr>
        <w:t>22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 декабря 2025 года;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- отчет о достигнутых значениях результата предоставления субсидии осуществляется по форме, определенной Приказом № 55, ежеквартально в срок до 01 числа месяца, следующего за отчетным периодом, до момента окончательного использования По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 xml:space="preserve">лучателем субсидии денежных средств, не позднее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>22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 xml:space="preserve"> декабря 2025 г</w:t>
      </w:r>
      <w:r>
        <w:rPr>
          <w:rStyle w:val="Style14"/>
          <w:rFonts w:ascii="Times New Roman" w:hAnsi="Times New Roman"/>
          <w:sz w:val="28"/>
          <w:szCs w:val="28"/>
        </w:rPr>
        <w:t>ода.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3.2. Админ</w:t>
      </w:r>
      <w:r>
        <w:rPr>
          <w:rStyle w:val="Style14"/>
          <w:rFonts w:ascii="Times New Roman" w:hAnsi="Times New Roman"/>
          <w:sz w:val="28"/>
          <w:szCs w:val="28"/>
        </w:rPr>
        <w:t>и</w:t>
      </w:r>
      <w:r>
        <w:rPr>
          <w:rStyle w:val="Style14"/>
          <w:rFonts w:ascii="Times New Roman" w:hAnsi="Times New Roman"/>
          <w:sz w:val="28"/>
          <w:szCs w:val="28"/>
        </w:rPr>
        <w:t xml:space="preserve">страция осуществляет проверку отчетов, устанавливает полноту и достоверность сведений, содержащихся в отчетах, прилагаемых к ним документах, материалах и информации в течение 10 рабочих дней </w:t>
      </w:r>
      <w:r>
        <w:rPr>
          <w:rStyle w:val="Style14"/>
          <w:rFonts w:cs="Times New Roman" w:ascii="Times New Roman" w:hAnsi="Times New Roman"/>
          <w:sz w:val="28"/>
          <w:szCs w:val="28"/>
          <w:shd w:fill="FFFFFF" w:val="clear"/>
        </w:rPr>
        <w:t xml:space="preserve">со дня получения </w:t>
      </w:r>
      <w:r>
        <w:rPr>
          <w:rStyle w:val="Style14"/>
          <w:rFonts w:ascii="Times New Roman" w:hAnsi="Times New Roman"/>
          <w:sz w:val="28"/>
          <w:szCs w:val="28"/>
        </w:rPr>
        <w:t>отчетов.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>Отчеты, указанные в пункте 3.1 настоящего Порядка, считаются принятыми после направления Получателю субсидии посредством почтового отправления, электронной связи или нарочно, уведомления, подписанного руководителем Администрации (уполномоченного им лица).</w:t>
      </w:r>
    </w:p>
    <w:p>
      <w:pPr>
        <w:pStyle w:val="Normal"/>
        <w:ind w:firstLine="709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>Отчеты, указанные в пункте 3.1 настоящего Порядка, считаются не принятыми после направления Получателю субсидии посредством почтового отправления, электронной связи или нарочно, уведомления, подписанного руководителем Администрации (уполномоченного им лица) по следующим основаниям:</w:t>
      </w:r>
    </w:p>
    <w:p>
      <w:pPr>
        <w:pStyle w:val="Normal"/>
        <w:ind w:firstLine="567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ab/>
        <w:t>1) непредставление (представление не в полном объеме) отчетов, указанных в пункте 3.1 настоящего Порядка;</w:t>
      </w:r>
    </w:p>
    <w:p>
      <w:pPr>
        <w:pStyle w:val="Normal"/>
        <w:ind w:firstLine="567"/>
        <w:jc w:val="both"/>
        <w:rPr/>
      </w:pPr>
      <w:r>
        <w:rPr>
          <w:rStyle w:val="Style14"/>
          <w:rFonts w:ascii="Times New Roman" w:hAnsi="Times New Roman"/>
          <w:sz w:val="28"/>
        </w:rPr>
        <w:t xml:space="preserve"> </w:t>
      </w:r>
      <w:r>
        <w:rPr>
          <w:rStyle w:val="Style14"/>
          <w:rFonts w:ascii="Times New Roman" w:hAnsi="Times New Roman"/>
          <w:sz w:val="28"/>
        </w:rPr>
        <w:tab/>
        <w:t>2) некорректное заполнение (не заполнение) Получателем субсидии всех обязательных для заполнения граф, предусмотренных в отчетах;</w:t>
      </w:r>
    </w:p>
    <w:p>
      <w:pPr>
        <w:pStyle w:val="Normal"/>
        <w:ind w:firstLine="720"/>
        <w:jc w:val="both"/>
        <w:rPr/>
      </w:pPr>
      <w:r>
        <w:rPr>
          <w:rStyle w:val="Style14"/>
          <w:rFonts w:ascii="Times New Roman" w:hAnsi="Times New Roman"/>
          <w:sz w:val="28"/>
          <w:szCs w:val="28"/>
        </w:rPr>
        <w:t>3) предоставление отчетов с нарушением сроков, указанных в пункте 3.1</w:t>
      </w:r>
      <w:r>
        <w:rPr>
          <w:rStyle w:val="Style14"/>
          <w:rFonts w:ascii="Times New Roman" w:hAnsi="Times New Roman"/>
          <w:sz w:val="28"/>
          <w:szCs w:val="28"/>
          <w:shd w:fill="FFFF00" w:val="clear"/>
        </w:rPr>
        <w:t xml:space="preserve"> </w:t>
      </w:r>
      <w:r>
        <w:rPr>
          <w:rStyle w:val="Style14"/>
          <w:rFonts w:ascii="Times New Roman" w:hAnsi="Times New Roman"/>
          <w:sz w:val="28"/>
          <w:szCs w:val="28"/>
        </w:rPr>
        <w:t>настоящего Порядка.</w:t>
      </w:r>
    </w:p>
    <w:p>
      <w:pPr>
        <w:pStyle w:val="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numPr>
          <w:ilvl w:val="0"/>
          <w:numId w:val="32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осуществлению контроля (мониторинга) за соблюдением условий и порядка предоставления субсидии</w:t>
      </w:r>
    </w:p>
    <w:p>
      <w:pPr>
        <w:pStyle w:val="Normal"/>
        <w:tabs>
          <w:tab w:val="clear" w:pos="709"/>
        </w:tabs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ответственности за их нарушение</w:t>
      </w:r>
    </w:p>
    <w:p>
      <w:pPr>
        <w:pStyle w:val="Normal"/>
        <w:numPr>
          <w:ilvl w:val="1"/>
          <w:numId w:val="33"/>
        </w:numPr>
        <w:tabs>
          <w:tab w:val="clear" w:pos="709"/>
        </w:tabs>
        <w:ind w:firstLine="709" w:left="0"/>
        <w:jc w:val="both"/>
        <w:rPr/>
      </w:pPr>
      <w:r>
        <w:rPr>
          <w:rStyle w:val="Style14"/>
          <w:rFonts w:ascii="Times New Roman" w:hAnsi="Times New Roman"/>
          <w:sz w:val="28"/>
          <w:szCs w:val="28"/>
          <w:shd w:fill="FFFFFF" w:val="clear"/>
        </w:rPr>
        <w:t xml:space="preserve">Администрация осуществляет проверку соблюдения Получателем субсидии порядка и условий предоставления субсидии, в том числе в части достижения результатов предоставления субсидии. Орган муниципального финансового контроля осуществляют проверку в соответствии </w:t>
      </w:r>
      <w:r>
        <w:rPr>
          <w:rStyle w:val="Style14"/>
          <w:rFonts w:ascii="Times New Roman" w:hAnsi="Times New Roman"/>
          <w:color w:val="000000"/>
          <w:sz w:val="28"/>
          <w:szCs w:val="28"/>
          <w:shd w:fill="FFFFFF" w:val="clear"/>
        </w:rPr>
        <w:t>с</w:t>
      </w:r>
      <w:r>
        <w:rPr>
          <w:rStyle w:val="Style14"/>
          <w:rFonts w:ascii="Times New Roman" w:hAnsi="Times New Roman"/>
          <w:sz w:val="28"/>
          <w:szCs w:val="28"/>
        </w:rPr>
        <w:t>о статьей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          268.1.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>В соответствии со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</w:t>
      </w:r>
      <w:r>
        <w:rPr>
          <w:rStyle w:val="Hyperlink"/>
          <w:rFonts w:ascii="Times New Roman" w:hAnsi="Times New Roman"/>
          <w:color w:val="000000"/>
          <w:sz w:val="28"/>
          <w:szCs w:val="28"/>
          <w:u w:val="none"/>
        </w:rPr>
        <w:t>статьей</w:t>
      </w:r>
      <w:r>
        <w:rPr>
          <w:rStyle w:val="Hyperlink"/>
          <w:rFonts w:ascii="Times New Roman" w:hAnsi="Times New Roman"/>
          <w:color w:val="000000"/>
          <w:u w:val="none"/>
        </w:rPr>
        <w:t xml:space="preserve"> 269.2 </w:t>
      </w:r>
      <w:r>
        <w:rPr>
          <w:rStyle w:val="Style14"/>
          <w:rFonts w:ascii="Times New Roman" w:hAnsi="Times New Roman"/>
          <w:color w:val="000000"/>
          <w:sz w:val="28"/>
          <w:szCs w:val="28"/>
          <w:shd w:fill="FFFFFF" w:val="clear"/>
        </w:rPr>
        <w:t>Бюджетного кодекса Российской Федерации проверку осуществляет уполномоченный сотрудник администрации Вилючинского городского округа</w:t>
      </w:r>
      <w:r>
        <w:rPr>
          <w:rStyle w:val="Style14"/>
          <w:rFonts w:ascii="Times New Roman" w:hAnsi="Times New Roman"/>
          <w:sz w:val="28"/>
          <w:szCs w:val="28"/>
        </w:rPr>
        <w:t>.</w:t>
      </w:r>
    </w:p>
    <w:p>
      <w:pPr>
        <w:pStyle w:val="Normal"/>
        <w:numPr>
          <w:ilvl w:val="1"/>
          <w:numId w:val="34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случаях нарушения условий предоставления субсидии, недостижения значений результата  или ее нецелевого использования субсидия подлежит возврату в местный бюджет </w:t>
      </w:r>
      <w:r>
        <w:rPr>
          <w:rFonts w:ascii="Times New Roman" w:hAnsi="Times New Roman"/>
          <w:sz w:val="28"/>
          <w:szCs w:val="28"/>
        </w:rPr>
        <w:t xml:space="preserve">Вилючинского городского округа </w:t>
      </w:r>
      <w:r>
        <w:rPr>
          <w:rFonts w:ascii="Times New Roman" w:hAnsi="Times New Roman"/>
          <w:sz w:val="28"/>
          <w:szCs w:val="28"/>
        </w:rPr>
        <w:t>в течение 10 (десяти) рабочих дней со дня выявления указанных нарушений.</w:t>
      </w:r>
    </w:p>
    <w:p>
      <w:pPr>
        <w:pStyle w:val="Normal"/>
        <w:numPr>
          <w:ilvl w:val="1"/>
          <w:numId w:val="35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Остаток средств субсидии, не использованный в текущем финансовом году, подлежит возврату в местный бюджет не позднее 25 декабря текущего финансового года.</w:t>
      </w:r>
    </w:p>
    <w:p>
      <w:pPr>
        <w:pStyle w:val="Normal"/>
        <w:numPr>
          <w:ilvl w:val="1"/>
          <w:numId w:val="36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нарушения Получателем субсидии пунктов 4.2 и 4.3 раздела 4 настоящего Порядка взыскание средств субсидии в местный бюджет </w:t>
      </w:r>
      <w:r>
        <w:rPr>
          <w:rFonts w:ascii="Times New Roman" w:hAnsi="Times New Roman"/>
          <w:sz w:val="28"/>
          <w:szCs w:val="28"/>
        </w:rPr>
        <w:t>Вилючинского городского округа</w:t>
      </w:r>
      <w:r>
        <w:rPr>
          <w:rFonts w:ascii="Times New Roman" w:hAnsi="Times New Roman"/>
          <w:sz w:val="28"/>
          <w:szCs w:val="28"/>
        </w:rPr>
        <w:t xml:space="preserve"> осуществляется в судебном порядке в соответствии с законодательством Российской Федерации.</w:t>
      </w:r>
    </w:p>
    <w:p>
      <w:pPr>
        <w:pStyle w:val="Normal"/>
        <w:numPr>
          <w:ilvl w:val="1"/>
          <w:numId w:val="37"/>
        </w:numPr>
        <w:tabs>
          <w:tab w:val="clear" w:pos="709"/>
        </w:tabs>
        <w:ind w:firstLine="709"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проводит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отражающих факт завершения соответствующего мероприятия по получению результата предоставления субсидии.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632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4"/>
        <w:gridCol w:w="5097"/>
      </w:tblGrid>
      <w:tr>
        <w:trPr/>
        <w:tc>
          <w:tcPr>
            <w:tcW w:w="4534" w:type="dxa"/>
            <w:tcBorders/>
          </w:tcPr>
          <w:p>
            <w:pPr>
              <w:pStyle w:val="Normal"/>
              <w:snapToGrid w:val="fals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5097" w:type="dxa"/>
            <w:tcBorders/>
          </w:tcPr>
          <w:p>
            <w:pPr>
              <w:pStyle w:val="Normal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Приложение</w:t>
            </w:r>
          </w:p>
          <w:p>
            <w:pPr>
              <w:pStyle w:val="Normal"/>
              <w:rPr/>
            </w:pPr>
            <w:r>
              <w:rPr>
                <w:rStyle w:val="Style14"/>
                <w:rFonts w:ascii="Times New Roman" w:hAnsi="Times New Roman"/>
                <w:sz w:val="26"/>
                <w:szCs w:val="26"/>
              </w:rPr>
              <w:t xml:space="preserve">к Порядку предоставления </w:t>
            </w:r>
            <w:r>
              <w:rPr>
                <w:rStyle w:val="Style14"/>
                <w:rFonts w:ascii="Times New Roman" w:hAnsi="Times New Roman"/>
                <w:sz w:val="26"/>
                <w:szCs w:val="26"/>
                <w:shd w:fill="auto" w:val="clear"/>
              </w:rPr>
              <w:t>общественной</w:t>
            </w:r>
          </w:p>
          <w:p>
            <w:pPr>
              <w:pStyle w:val="Normal"/>
              <w:rPr>
                <w:sz w:val="26"/>
                <w:szCs w:val="26"/>
              </w:rPr>
            </w:pPr>
            <w:r>
              <w:rPr>
                <w:sz w:val="26"/>
                <w:szCs w:val="26"/>
                <w:shd w:fill="auto" w:val="clear"/>
              </w:rPr>
              <w:t>организации «Городской совет</w:t>
            </w:r>
          </w:p>
          <w:p>
            <w:pPr>
              <w:pStyle w:val="Normal"/>
              <w:rPr>
                <w:sz w:val="26"/>
                <w:szCs w:val="26"/>
              </w:rPr>
            </w:pPr>
            <w:r>
              <w:rPr>
                <w:sz w:val="26"/>
                <w:szCs w:val="26"/>
                <w:shd w:fill="auto" w:val="clear"/>
              </w:rPr>
              <w:t>ветеранов (пенсионеров) войны,</w:t>
            </w:r>
          </w:p>
          <w:p>
            <w:pPr>
              <w:pStyle w:val="Normal"/>
              <w:rPr>
                <w:sz w:val="26"/>
                <w:szCs w:val="26"/>
              </w:rPr>
            </w:pPr>
            <w:r>
              <w:rPr>
                <w:sz w:val="26"/>
                <w:szCs w:val="26"/>
                <w:shd w:fill="auto" w:val="clear"/>
              </w:rPr>
              <w:t>труда, Вооруженных сил и</w:t>
            </w:r>
          </w:p>
          <w:p>
            <w:pPr>
              <w:pStyle w:val="Normal"/>
              <w:rPr/>
            </w:pPr>
            <w:r>
              <w:rPr>
                <w:rStyle w:val="Style14"/>
                <w:rFonts w:ascii="Times New Roman" w:hAnsi="Times New Roman"/>
                <w:sz w:val="26"/>
                <w:szCs w:val="26"/>
                <w:shd w:fill="auto" w:val="clear"/>
              </w:rPr>
              <w:t xml:space="preserve">правоохранительных органов» </w:t>
            </w:r>
            <w:r>
              <w:rPr>
                <w:rStyle w:val="Style14"/>
                <w:rFonts w:ascii="Times New Roman" w:hAnsi="Times New Roman"/>
                <w:sz w:val="26"/>
                <w:szCs w:val="26"/>
              </w:rPr>
              <w:t>субсидий на финансовое обеспечение затрат для</w:t>
            </w:r>
          </w:p>
          <w:p>
            <w:pPr>
              <w:pStyle w:val="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обустройства мест захоронения</w:t>
            </w:r>
          </w:p>
          <w:p>
            <w:pPr>
              <w:pStyle w:val="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погибших участников специальной</w:t>
            </w:r>
          </w:p>
          <w:p>
            <w:pPr>
              <w:pStyle w:val="Normal"/>
              <w:rPr/>
            </w:pPr>
            <w:r>
              <w:rPr>
                <w:sz w:val="26"/>
                <w:szCs w:val="26"/>
              </w:rPr>
              <w:t xml:space="preserve">военной операции </w:t>
            </w:r>
            <w:r>
              <w:rPr>
                <w:rStyle w:val="Style14"/>
                <w:rFonts w:ascii="Times New Roman" w:hAnsi="Times New Roman"/>
                <w:sz w:val="26"/>
                <w:szCs w:val="26"/>
              </w:rPr>
              <w:t xml:space="preserve"> на 2025 год</w:t>
            </w:r>
          </w:p>
          <w:p>
            <w:pPr>
              <w:pStyle w:val="Normal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администрацию Вилючинского городского округа</w:t>
            </w:r>
          </w:p>
        </w:tc>
      </w:tr>
    </w:tbl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jc w:val="center"/>
        <w:rPr/>
      </w:pPr>
      <w:r>
        <w:rPr>
          <w:rFonts w:ascii="Times New Roman" w:hAnsi="Times New Roman"/>
          <w:sz w:val="26"/>
          <w:szCs w:val="26"/>
        </w:rPr>
        <w:t>ЗАЯВЛЕНИЕ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sz w:val="28"/>
          <w:szCs w:val="28"/>
        </w:rPr>
        <w:t xml:space="preserve">о предоставлении </w:t>
      </w:r>
      <w:r>
        <w:rPr>
          <w:rStyle w:val="Style14"/>
          <w:rFonts w:ascii="Times New Roman" w:hAnsi="Times New Roman"/>
          <w:sz w:val="28"/>
          <w:szCs w:val="28"/>
          <w:shd w:fill="auto" w:val="clear"/>
        </w:rPr>
        <w:t xml:space="preserve">общественной организации «Городской совет ветеранов (пенсионеров) войны, труда, Вооруженных сил и правоохранительных </w:t>
      </w:r>
    </w:p>
    <w:p>
      <w:pPr>
        <w:pStyle w:val="Normal"/>
        <w:jc w:val="center"/>
        <w:rPr/>
      </w:pPr>
      <w:r>
        <w:rPr>
          <w:rStyle w:val="Style14"/>
          <w:rFonts w:ascii="Times New Roman" w:hAnsi="Times New Roman"/>
          <w:sz w:val="28"/>
          <w:szCs w:val="28"/>
          <w:shd w:fill="auto" w:val="clear"/>
        </w:rPr>
        <w:t xml:space="preserve">органов» города Вилючинска </w:t>
      </w:r>
      <w:r>
        <w:rPr>
          <w:rStyle w:val="Style14"/>
          <w:rFonts w:ascii="Times New Roman" w:hAnsi="Times New Roman"/>
          <w:sz w:val="28"/>
          <w:szCs w:val="28"/>
        </w:rPr>
        <w:t xml:space="preserve">субсидий на финансовое обеспечение затрат для </w:t>
      </w:r>
    </w:p>
    <w:p>
      <w:pPr>
        <w:pStyle w:val="Normal"/>
        <w:jc w:val="center"/>
        <w:rPr/>
      </w:pPr>
      <w:r>
        <w:rPr>
          <w:sz w:val="28"/>
          <w:szCs w:val="28"/>
        </w:rPr>
        <w:t>обустройства мест захоронения погибших участников специальной военной операции</w:t>
      </w:r>
      <w:r>
        <w:rPr>
          <w:rStyle w:val="Style14"/>
          <w:rFonts w:ascii="Times New Roman" w:hAnsi="Times New Roman"/>
          <w:sz w:val="28"/>
          <w:szCs w:val="28"/>
        </w:rPr>
        <w:t xml:space="preserve"> на 2025 год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Полное наименование организации_____________________________________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Сокращенное наименование организации  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Юридический адрес организации 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Почтовый адрес организации 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Ф.И.О. руководителя организации 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телефон, адрес электронной почты  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ИНН/КПП организации  ___________________/___________________________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ОГРН организации 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Расчетный счет организации 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Наименование, адрес банка получателя  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идентификационный код (БИК)______________________________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корреспондентский счет 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ind w:firstLine="73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Обоснование необходимости предоставления субсидии, перечень мероприятий на которые планируется использовать субсидию:</w:t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tabs>
          <w:tab w:val="clear" w:pos="709"/>
        </w:tabs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организации ______________ /______________/</w:t>
      </w:r>
    </w:p>
    <w:p>
      <w:pPr>
        <w:pStyle w:val="Normal"/>
        <w:tabs>
          <w:tab w:val="clear" w:pos="709"/>
        </w:tabs>
        <w:ind w:left="720"/>
        <w:rPr/>
      </w:pPr>
      <w:r>
        <w:rPr>
          <w:rStyle w:val="Style14"/>
          <w:rFonts w:ascii="Times New Roman" w:hAnsi="Times New Roman"/>
          <w:sz w:val="26"/>
          <w:szCs w:val="26"/>
        </w:rPr>
        <w:tab/>
        <w:tab/>
        <w:tab/>
        <w:tab/>
        <w:t xml:space="preserve">   </w:t>
      </w:r>
      <w:r>
        <w:rPr>
          <w:rFonts w:ascii="Times New Roman" w:hAnsi="Times New Roman"/>
        </w:rPr>
        <w:t>М.П.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 w:val="false"/>
        <w:szCs w:val="28"/>
        <w:bCs w:val="false"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sz w:val="28"/>
        <w:b w:val="false"/>
        <w:szCs w:val="28"/>
        <w:bCs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b w:val="false"/>
        <w:bCs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b w:val="false"/>
        <w:bCs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b w:val="false"/>
        <w:bCs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b w:val="false"/>
        <w:bCs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b w:val="false"/>
        <w:bCs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b w:val="false"/>
        <w:bCs w:val="false"/>
      </w:rPr>
    </w:lvl>
  </w:abstractNum>
  <w:abstractNum w:abstractNumId="1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1"/>
    <w:lvlOverride w:ilvl="0">
      <w:startOverride w:val="1"/>
    </w:lvlOverride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</w:numbering>
</file>

<file path=word/settings.xml><?xml version="1.0" encoding="utf-8"?>
<w:settings xmlns:w="http://schemas.openxmlformats.org/wordprocessingml/2006/main">
  <w:zoom w:percent="95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character" w:styleId="Style14">
    <w:name w:val="Основной шрифт абзаца"/>
    <w:qFormat/>
    <w:rPr/>
  </w:style>
  <w:style w:type="character" w:styleId="WW8Num2z0">
    <w:name w:val="WW8Num2z0"/>
    <w:qFormat/>
    <w:rPr>
      <w:b w:val="false"/>
      <w:bCs w:val="false"/>
    </w:rPr>
  </w:style>
  <w:style w:type="character" w:styleId="Hyperlink">
    <w:name w:val="Hyperlink"/>
    <w:rPr>
      <w:color w:val="0000FF"/>
      <w:u w:val="single"/>
    </w:rPr>
  </w:style>
  <w:style w:type="character" w:styleId="WW8Num3z0">
    <w:name w:val="WW8Num3z0"/>
    <w:qFormat/>
    <w:rPr>
      <w:b w:val="false"/>
      <w:bCs w:val="false"/>
    </w:rPr>
  </w:style>
  <w:style w:type="character" w:styleId="Style15">
    <w:name w:val="Текст выноски Знак"/>
    <w:qFormat/>
    <w:rPr>
      <w:rFonts w:ascii="Tahoma" w:hAnsi="Tahoma" w:eastAsia="Tahoma" w:cs="Tahoma"/>
      <w:sz w:val="16"/>
      <w:szCs w:val="16"/>
    </w:rPr>
  </w:style>
  <w:style w:type="character" w:styleId="WWCharLFO1LVL1">
    <w:name w:val="WW_CharLFO1LVL1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2">
    <w:name w:val="WW_CharLFO1LVL2"/>
    <w:qFormat/>
    <w:rPr>
      <w:rFonts w:ascii="Times New Roman" w:hAnsi="Times New Roman"/>
      <w:b w:val="false"/>
      <w:bCs w:val="false"/>
      <w:sz w:val="28"/>
      <w:szCs w:val="28"/>
    </w:rPr>
  </w:style>
  <w:style w:type="character" w:styleId="WWCharLFO1LVL3">
    <w:name w:val="WW_CharLFO1LVL3"/>
    <w:qFormat/>
    <w:rPr>
      <w:b w:val="false"/>
      <w:bCs w:val="false"/>
    </w:rPr>
  </w:style>
  <w:style w:type="character" w:styleId="WWCharLFO1LVL4">
    <w:name w:val="WW_CharLFO1LVL4"/>
    <w:qFormat/>
    <w:rPr>
      <w:b w:val="false"/>
      <w:bCs w:val="false"/>
    </w:rPr>
  </w:style>
  <w:style w:type="character" w:styleId="WWCharLFO1LVL5">
    <w:name w:val="WW_CharLFO1LVL5"/>
    <w:qFormat/>
    <w:rPr>
      <w:b w:val="false"/>
      <w:bCs w:val="false"/>
    </w:rPr>
  </w:style>
  <w:style w:type="character" w:styleId="WWCharLFO1LVL6">
    <w:name w:val="WW_CharLFO1LVL6"/>
    <w:qFormat/>
    <w:rPr>
      <w:b w:val="false"/>
      <w:bCs w:val="false"/>
    </w:rPr>
  </w:style>
  <w:style w:type="character" w:styleId="WWCharLFO1LVL7">
    <w:name w:val="WW_CharLFO1LVL7"/>
    <w:qFormat/>
    <w:rPr>
      <w:b w:val="false"/>
      <w:bCs w:val="false"/>
    </w:rPr>
  </w:style>
  <w:style w:type="character" w:styleId="WWCharLFO1LVL8">
    <w:name w:val="WW_CharLFO1LVL8"/>
    <w:qFormat/>
    <w:rPr>
      <w:b w:val="false"/>
      <w:bCs w:val="false"/>
    </w:rPr>
  </w:style>
  <w:style w:type="character" w:styleId="WWCharLFO1LVL9">
    <w:name w:val="WW_CharLFO1LVL9"/>
    <w:qFormat/>
    <w:rPr>
      <w:b w:val="false"/>
      <w:bCs w:val="false"/>
    </w:rPr>
  </w:style>
  <w:style w:type="character" w:styleId="WWCharLFO2LVL1">
    <w:name w:val="WW_CharLFO2LVL1"/>
    <w:qFormat/>
    <w:rPr>
      <w:b w:val="false"/>
      <w:bCs w:val="false"/>
    </w:rPr>
  </w:style>
  <w:style w:type="character" w:styleId="WWCharLFO2LVL2">
    <w:name w:val="WW_CharLFO2LVL2"/>
    <w:qFormat/>
    <w:rPr>
      <w:b w:val="false"/>
      <w:bCs w:val="false"/>
    </w:rPr>
  </w:style>
  <w:style w:type="character" w:styleId="WWCharLFO2LVL3">
    <w:name w:val="WW_CharLFO2LVL3"/>
    <w:qFormat/>
    <w:rPr>
      <w:b w:val="false"/>
      <w:bCs w:val="false"/>
    </w:rPr>
  </w:style>
  <w:style w:type="character" w:styleId="WWCharLFO2LVL4">
    <w:name w:val="WW_CharLFO2LVL4"/>
    <w:qFormat/>
    <w:rPr>
      <w:b w:val="false"/>
      <w:bCs w:val="false"/>
    </w:rPr>
  </w:style>
  <w:style w:type="character" w:styleId="WWCharLFO2LVL5">
    <w:name w:val="WW_CharLFO2LVL5"/>
    <w:qFormat/>
    <w:rPr>
      <w:b w:val="false"/>
      <w:bCs w:val="false"/>
    </w:rPr>
  </w:style>
  <w:style w:type="character" w:styleId="WWCharLFO2LVL6">
    <w:name w:val="WW_CharLFO2LVL6"/>
    <w:qFormat/>
    <w:rPr>
      <w:b w:val="false"/>
      <w:bCs w:val="false"/>
    </w:rPr>
  </w:style>
  <w:style w:type="character" w:styleId="WWCharLFO2LVL7">
    <w:name w:val="WW_CharLFO2LVL7"/>
    <w:qFormat/>
    <w:rPr>
      <w:b w:val="false"/>
      <w:bCs w:val="false"/>
    </w:rPr>
  </w:style>
  <w:style w:type="character" w:styleId="WWCharLFO2LVL8">
    <w:name w:val="WW_CharLFO2LVL8"/>
    <w:qFormat/>
    <w:rPr>
      <w:b w:val="false"/>
      <w:bCs w:val="false"/>
    </w:rPr>
  </w:style>
  <w:style w:type="character" w:styleId="WWCharLFO2LVL9">
    <w:name w:val="WW_CharLFO2LVL9"/>
    <w:qFormat/>
    <w:rPr>
      <w:b w:val="false"/>
      <w:bCs w:val="false"/>
    </w:rPr>
  </w:style>
  <w:style w:type="paragraph" w:styleId="Style16">
    <w:name w:val="Заголовок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  <w:suppressAutoHyphens w:val="true"/>
    </w:pPr>
    <w:rPr/>
  </w:style>
  <w:style w:type="paragraph" w:styleId="Style18">
    <w:name w:val="Обычный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paragraph" w:styleId="Style19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20">
    <w:name w:val="Содержимое таблицы"/>
    <w:basedOn w:val="Normal"/>
    <w:qFormat/>
    <w:pPr>
      <w:widowControl w:val="false"/>
      <w:suppressLineNumbers/>
      <w:suppressAutoHyphens w:val="true"/>
    </w:pPr>
    <w:rPr/>
  </w:style>
  <w:style w:type="paragraph" w:styleId="Style21">
    <w:name w:val="Горизонтальная линия"/>
    <w:basedOn w:val="Normal"/>
    <w:next w:val="BodyText"/>
    <w:qFormat/>
    <w:pPr>
      <w:suppressLineNumbers/>
      <w:suppressAutoHyphens w:val="true"/>
      <w:spacing w:before="0" w:after="283"/>
    </w:pPr>
    <w:rPr>
      <w:sz w:val="12"/>
      <w:szCs w:val="12"/>
    </w:rPr>
  </w:style>
  <w:style w:type="paragraph" w:styleId="Style22">
    <w:name w:val="Текст выноски"/>
    <w:basedOn w:val="Normal"/>
    <w:qFormat/>
    <w:pPr>
      <w:suppressAutoHyphens w:val="true"/>
    </w:pPr>
    <w:rPr>
      <w:rFonts w:ascii="Tahoma" w:hAnsi="Tahoma" w:eastAsia="Tahoma" w:cs="Tahoma"/>
      <w:sz w:val="16"/>
      <w:szCs w:val="16"/>
    </w:rPr>
  </w:style>
  <w:style w:type="paragraph" w:styleId="ConsPlusTitle">
    <w:name w:val="ConsPlusTitle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nformat">
    <w:name w:val="ConsPlusNonformat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</w:pPr>
    <w:rPr>
      <w:rFonts w:ascii="Courier New" w:hAnsi="Courier New" w:eastAsia="Times New Roman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ConsPlusNormal">
    <w:name w:val="ConsPlus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ind w:firstLine="72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zh-CN" w:bidi="ar-SA"/>
    </w:rPr>
  </w:style>
  <w:style w:type="paragraph" w:styleId="2">
    <w:name w:val="Основной текст 2"/>
    <w:basedOn w:val="Normal"/>
    <w:qFormat/>
    <w:pPr>
      <w:suppressAutoHyphens w:val="true"/>
    </w:pPr>
    <w:rPr>
      <w:sz w:val="28"/>
    </w:rPr>
  </w:style>
  <w:style w:type="paragraph" w:styleId="Style23">
    <w:name w:val="Схема документа"/>
    <w:basedOn w:val="Normal"/>
    <w:qFormat/>
    <w:pPr>
      <w:shd w:val="clear" w:fill="000080"/>
      <w:suppressAutoHyphens w:val="true"/>
    </w:pPr>
    <w:rPr>
      <w:rFonts w:ascii="Tahoma" w:hAnsi="Tahoma" w:eastAsia="Tahoma" w:cs="Tahoma"/>
    </w:rPr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611</TotalTime>
  <Application>LibreOffice/7.6.7.2$Linux_X86_64 LibreOffice_project/60$Build-2</Application>
  <AppVersion>15.0000</AppVersion>
  <Pages>8</Pages>
  <Words>2089</Words>
  <Characters>16015</Characters>
  <CharactersWithSpaces>18039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2025-03-18T04:34:00Z</dcterms:created>
  <dc:creator/>
  <dc:description/>
  <dc:language>ru-RU</dc:language>
  <cp:lastModifiedBy/>
  <dcterms:modified xsi:type="dcterms:W3CDTF">2025-12-05T13:00:16Z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