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media/image1.jpeg" ContentType="image/jpeg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  <w:lang w:val="en-US"/>
        </w:rPr>
      </w:pPr>
      <w:r>
        <w:rPr/>
        <w:drawing>
          <wp:inline distT="0" distB="0" distL="0" distR="0">
            <wp:extent cx="504190" cy="635000"/>
            <wp:effectExtent l="0" t="0" r="0" b="0"/>
            <wp:docPr id="1" name="Drawing 2" descr="Герб Вилючи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2" descr="Герб Вилючинск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>
      <w:pPr>
        <w:pStyle w:val="Normal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Style w:val="aa"/>
        <w:tblW w:w="8789" w:type="dxa"/>
        <w:jc w:val="left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5"/>
        <w:gridCol w:w="4573"/>
      </w:tblGrid>
      <w:tr>
        <w:trPr/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8"/>
                <w:szCs w:val="28"/>
                <w:lang w:val="en-US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45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1325"/>
              <w:jc w:val="righ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en-US" w:eastAsia="en-US" w:bidi="ar-SA"/>
              </w:rPr>
              <w:t>№</w:t>
            </w:r>
          </w:p>
        </w:tc>
      </w:tr>
    </w:tbl>
    <w:p>
      <w:pPr>
        <w:pStyle w:val="Normal"/>
        <w:ind w:firstLine="99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>
      <w:pPr>
        <w:pStyle w:val="Normal"/>
        <w:ind w:firstLine="993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г. Вилючинск 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Об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утверждении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Административного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регламента</w:t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муниципальной услуги </w:t>
        <w:br/>
        <w:t>«</w:t>
      </w:r>
      <w:r>
        <w:rPr>
          <w:b/>
          <w:sz w:val="28"/>
          <w:szCs w:val="28"/>
        </w:rPr>
        <w:t>Выдача разрешения на ввод объекта в эксплуатацию»</w:t>
      </w:r>
    </w:p>
    <w:p>
      <w:pPr>
        <w:pStyle w:val="Normal"/>
        <w:ind w:firstLine="709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соответствии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Утвердить прилагаемый Административный </w:t>
      </w:r>
      <w:hyperlink r:id="rId3">
        <w:r>
          <w:rPr>
            <w:rStyle w:val="ListLabel334"/>
            <w:sz w:val="28"/>
            <w:szCs w:val="28"/>
            <w:lang w:eastAsia="ru-RU"/>
          </w:rPr>
          <w:t>регламент</w:t>
        </w:r>
      </w:hyperlink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sz w:val="28"/>
          <w:szCs w:val="28"/>
          <w:lang w:eastAsia="ru-RU"/>
        </w:rPr>
        <w:t xml:space="preserve"> по предоставлению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lang w:eastAsia="ru-RU"/>
        </w:rPr>
        <w:t xml:space="preserve"> услуги «</w:t>
      </w:r>
      <w:r>
        <w:rPr>
          <w:sz w:val="28"/>
          <w:szCs w:val="28"/>
        </w:rPr>
        <w:t>Выдача разрешения на ввод объекта в эксплуатацию».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Признать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утратившим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силу</w:t>
      </w:r>
      <w:r>
        <w:rPr>
          <w:sz w:val="28"/>
          <w:szCs w:val="28"/>
          <w:lang w:val="en-US"/>
        </w:rPr>
        <w:t xml:space="preserve"> постановление администрации ВГО от 09.01.2025 г. № 2 «Об утверждении Административного регламента Администрации Вилючинского городского округа закрытого административно-территориального образования города Вилючинска Камчатского края по предоставлению муниципальной услуги «Выдача разрешения на ввод объекта в эксплуатацию».</w:t>
      </w:r>
    </w:p>
    <w:p>
      <w:pPr>
        <w:pStyle w:val="Normal"/>
        <w:keepNext w:val="true"/>
        <w:numPr>
          <w:ilvl w:val="0"/>
          <w:numId w:val="1"/>
        </w:numPr>
        <w:tabs>
          <w:tab w:val="left" w:pos="1134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tbl>
      <w:tblPr>
        <w:tblStyle w:val="aa"/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826"/>
        <w:gridCol w:w="3261"/>
      </w:tblGrid>
      <w:tr>
        <w:trPr/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center"/>
              <w:rPr>
                <w:sz w:val="28"/>
                <w:szCs w:val="28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widowControl/>
              <w:spacing w:before="0" w:after="0"/>
              <w:ind w:right="-114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Cs w:val="22"/>
                <w:lang w:val="ru-RU" w:eastAsia="en-US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567" w:gutter="0" w:header="709" w:top="766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259" w:before="0" w:after="160"/>
        <w:ind w:left="623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40" w:after="0"/>
        <w:ind w:left="6237"/>
        <w:rPr>
          <w:lang w:val="en-US"/>
        </w:rPr>
      </w:pPr>
      <w:r>
        <w:rPr>
          <w:sz w:val="28"/>
          <w:szCs w:val="28"/>
        </w:rPr>
        <w:t>Утвержден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№</w:t>
      </w:r>
    </w:p>
    <w:p>
      <w:pPr>
        <w:pStyle w:val="Normal"/>
        <w:ind w:left="7371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jc w:val="center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Административный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регламент</w:t>
      </w:r>
    </w:p>
    <w:p>
      <w:pPr>
        <w:pStyle w:val="Normal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по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предоставлению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муниципальной услуги «</w:t>
      </w:r>
      <w:r>
        <w:rPr>
          <w:b/>
          <w:sz w:val="28"/>
          <w:szCs w:val="28"/>
        </w:rPr>
        <w:t>Выдача разрешения на ввод объекта в эксплуатацию»</w:t>
      </w:r>
    </w:p>
    <w:p>
      <w:pPr>
        <w:pStyle w:val="Normal"/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Выдача разрешения на ввод объекта в эксплуатацию»</w:t>
      </w:r>
      <w:r>
        <w:rPr>
          <w:sz w:val="28"/>
          <w:szCs w:val="28"/>
          <w:lang w:eastAsia="ru-RU"/>
        </w:rPr>
        <w:t xml:space="preserve"> (далее – Услуга).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физическим лицам, индивидуальным предпринимателям, юридическим лицам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Услуга должна быть предоставлена заявителю в соответствии с вариантом предоставления </w:t>
      </w:r>
      <w:r>
        <w:rPr>
          <w:sz w:val="28"/>
          <w:szCs w:val="28"/>
          <w:lang w:eastAsia="ru-RU"/>
        </w:rPr>
        <w:t>Услуги (далее – вариант).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FootnoteReference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>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sz w:val="28"/>
          <w:szCs w:val="28"/>
          <w:lang w:eastAsia="ru-RU"/>
        </w:rPr>
        <w:footnoteReference w:id="3"/>
      </w:r>
      <w:r>
        <w:rPr>
          <w:sz w:val="28"/>
          <w:szCs w:val="28"/>
          <w:lang w:eastAsia="ru-RU"/>
        </w:rPr>
        <w:t xml:space="preserve"> (далее – Единый портал)</w:t>
      </w:r>
      <w:r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>
        <w:rPr>
          <w:sz w:val="28"/>
          <w:szCs w:val="28"/>
          <w:lang w:eastAsia="ru-RU"/>
        </w:rPr>
        <w:t xml:space="preserve">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Выдача разрешения на ввод объекта в эксплуатацию.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 xml:space="preserve">Администрацией Вилючинского городского округа закрытого административно-территориального образования города Вилючинска Камчатского края </w:t>
      </w:r>
      <w:r>
        <w:rPr>
          <w:sz w:val="28"/>
          <w:szCs w:val="28"/>
          <w:lang w:val="en-US" w:eastAsia="ru-RU"/>
        </w:rPr>
        <w:t>(</w:t>
      </w:r>
      <w:r>
        <w:rPr>
          <w:sz w:val="28"/>
          <w:szCs w:val="28"/>
          <w:lang w:eastAsia="ru-RU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Орган местного самоуправления).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МФЦ, в которых организуется предоставление Услуги,</w:t>
      </w:r>
      <w:r>
        <w:rPr>
          <w:sz w:val="28"/>
          <w:szCs w:val="28"/>
        </w:rPr>
        <w:t xml:space="preserve"> не могут принимать</w:t>
      </w:r>
      <w:r>
        <w:rPr>
          <w:sz w:val="28"/>
          <w:szCs w:val="28"/>
          <w:lang w:eastAsia="ru-RU"/>
        </w:rPr>
        <w:t xml:space="preserve"> решение об отказе в приеме </w:t>
      </w:r>
      <w:r>
        <w:rPr>
          <w:sz w:val="28"/>
          <w:szCs w:val="28"/>
        </w:rPr>
        <w:t xml:space="preserve">заявления о выдаче разрешения на ввод объекта в эксплуатацию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заявление), </w:t>
      </w:r>
      <w:r>
        <w:rPr>
          <w:sz w:val="28"/>
          <w:szCs w:val="28"/>
        </w:rPr>
        <w:t xml:space="preserve">заявления о внесении изменений в разрешение на ввод объекта в эксплуатацию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заявление), </w:t>
      </w:r>
      <w:r>
        <w:rPr>
          <w:sz w:val="28"/>
          <w:szCs w:val="28"/>
        </w:rPr>
        <w:t xml:space="preserve">заявления об исправлении ошибок (опечаток)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 xml:space="preserve">заявление), </w:t>
      </w:r>
      <w:r>
        <w:rPr>
          <w:sz w:val="28"/>
          <w:szCs w:val="28"/>
        </w:rPr>
        <w:t xml:space="preserve">заявления о выдаче дубликата разрешения на ввод объекта в эксплуатацию </w:t>
      </w: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далее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  <w:lang w:val="en-US"/>
        </w:rPr>
        <w:t>заявление)</w:t>
      </w:r>
      <w:r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разрешения на ввод объекта в эксплуатацию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разрешение на ввод объекта в эксплуатацию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отказ в выдаче разрешения на ввод объекта в эксплуатацию (документ на бумажном носителе или в форме электронного документа)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внесением изменений в разрешение на ввод объекта в эксплуатацию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разрешение на ввод объекта в эксплуатацию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(или) ошибок в выданных в результате предоставления муниципальной услуги документах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разрешение на ввод объекта в эксплуатацию (документ на бумажном носителе или в электронной форме, исправленный документ);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уведомление об отказе в исправлении опечаток и (или) ошибок (документ на бумажном носителе или в электронной форме)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получением дубликата разрешения на ввод объекта в эксплуатацию результатами предоставления Услуги являются: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дубликат разрешения на ввод объекта в эксплуатацию (документ на бумажном носителе или документ в электронной форме);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решение об отказе в выдаче дубликата разрешения на ввод объекта в эксплуатацию (документ на бумажном носителе или в форме электронного документа).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>Результаты предоставления Услуги могут быть получены в МФЦ, посредством Единого портала, в Органе местного самоуправления.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предоставления Услуги составляет </w:t>
      </w:r>
      <w:r>
        <w:rPr>
          <w:sz w:val="28"/>
          <w:szCs w:val="28"/>
          <w:lang w:val="en-US" w:eastAsia="ru-RU"/>
        </w:rPr>
        <w:t xml:space="preserve">5 рабочих дней </w:t>
      </w:r>
      <w:r>
        <w:rPr>
          <w:sz w:val="28"/>
          <w:szCs w:val="28"/>
          <w:lang w:eastAsia="ru-RU"/>
        </w:rPr>
        <w:t>с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даты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 xml:space="preserve">Услуги. </w:t>
      </w:r>
    </w:p>
    <w:p>
      <w:pPr>
        <w:pStyle w:val="Normal"/>
        <w:keepNext w:val="true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lang w:val="en-US" w:eastAsia="ru-RU"/>
        </w:rPr>
        <w:t>III</w:t>
      </w:r>
      <w:r>
        <w:rPr>
          <w:sz w:val="28"/>
          <w:szCs w:val="28"/>
          <w:lang w:eastAsia="ru-RU"/>
        </w:rPr>
        <w:t xml:space="preserve">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5"/>
        </w:numPr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, а также о должностных лицах, </w:t>
      </w:r>
      <w:r>
        <w:rPr>
          <w:bCs/>
          <w:sz w:val="28"/>
          <w:szCs w:val="28"/>
          <w:lang w:eastAsia="ru-RU"/>
        </w:rPr>
        <w:t>муниципальных</w:t>
      </w:r>
      <w:r>
        <w:rPr>
          <w:sz w:val="28"/>
          <w:szCs w:val="28"/>
          <w:lang w:eastAsia="ru-RU"/>
        </w:rPr>
        <w:t xml:space="preserve"> служащих, работниках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>
        <w:rPr>
          <w:sz w:val="28"/>
          <w:szCs w:val="28"/>
        </w:rPr>
        <w:t>– сеть «Интернет»),</w:t>
      </w:r>
      <w:r>
        <w:rPr>
          <w:sz w:val="28"/>
          <w:szCs w:val="28"/>
          <w:lang w:eastAsia="ru-RU"/>
        </w:rPr>
        <w:t xml:space="preserve">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перечень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оснований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для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отказа</w:t>
      </w:r>
      <w:r>
        <w:rPr>
          <w:b/>
          <w:bCs/>
          <w:sz w:val="28"/>
          <w:szCs w:val="28"/>
          <w:lang w:val="en-US" w:eastAsia="ru-RU"/>
        </w:rPr>
        <w:br/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приеме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заявления</w:t>
      </w:r>
      <w:r>
        <w:rPr>
          <w:b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Основания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отказа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приостановления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Российской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Федерации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предусмотрены</w:t>
      </w:r>
      <w:r>
        <w:rPr>
          <w:sz w:val="28"/>
          <w:szCs w:val="28"/>
          <w:lang w:val="en-US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Максимальный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ожидания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в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очереди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подаче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заявителем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ожидания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очереди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подаче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15 </w:t>
      </w:r>
      <w:r>
        <w:rPr>
          <w:sz w:val="28"/>
          <w:szCs w:val="28"/>
          <w:lang w:eastAsia="ru-RU"/>
        </w:rPr>
        <w:t>минут</w:t>
      </w:r>
      <w:r>
        <w:rPr>
          <w:sz w:val="28"/>
          <w:szCs w:val="28"/>
          <w:lang w:val="en-US" w:eastAsia="ru-RU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Срок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регистрации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sz w:val="28"/>
          <w:szCs w:val="28"/>
          <w:lang w:val="en-US"/>
        </w:rPr>
        <w:t>заявления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необходимых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en-US"/>
        </w:rPr>
        <w:t>Единый портал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единая система межведомственного электронного взаимодействия</w:t>
      </w:r>
      <w:r>
        <w:rPr>
          <w:rStyle w:val="FootnoteReference"/>
          <w:sz w:val="28"/>
          <w:szCs w:val="28"/>
          <w:lang w:eastAsia="ru-RU"/>
        </w:rPr>
        <w:footnoteReference w:id="4"/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государственная информационная система обеспечения градостроительной деятельности.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выдачей разрешения на ввод объекта в эксплуатацию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7: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8: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9: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10: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11: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12: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13: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14: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15: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16: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17: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18: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19: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внесением изменений в разрешение на ввод объекта в эксплуатацию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27: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28: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29: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30: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31: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32: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33: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34: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35: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36: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39: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40: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41: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42: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45: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46: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47: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объект капитального строительства (кроме линейных объектов)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48: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право на земельный участок не зарегистрировано в ЕГРН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линейный объект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исправлением допущенных опечаток и (или) ошибок в выданных в результате предоставления муниципальной услуги документах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49: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50: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51: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52: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53: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54: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</w:rPr>
        <w:t>получением дубликата разрешения на ввод объекта в эксплуатацию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вариантами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55: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56: индивидуальный предприниматель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57: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58: физическое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59: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через уполномоченного представителя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1134"/>
          <w:tab w:val="left" w:pos="1276" w:leader="none"/>
          <w:tab w:val="left" w:pos="1985" w:leader="none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Вариант </w:t>
      </w:r>
      <w:r>
        <w:rPr>
          <w:sz w:val="28"/>
          <w:szCs w:val="28"/>
          <w:lang w:val="en-US"/>
        </w:rPr>
        <w:t>60: юридическое лицо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личное обращение/обращение через лицо, имеющее право представлять интересы юрлица без доверенности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>Возможность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оставления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без рассмотрения не предусмотрена.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eastAsia="ru-RU"/>
        </w:rPr>
        <w:t>Профилирование</w:t>
      </w:r>
      <w:r>
        <w:rPr>
          <w:b/>
          <w:bCs/>
          <w:sz w:val="28"/>
          <w:szCs w:val="28"/>
          <w:lang w:val="en-US"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заявителя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Профилирование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посредством Единого портала;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МФЦ;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Описания вариантов, приведенные в настоящем разделе, размещаются </w:t>
      </w:r>
      <w:r>
        <w:rPr>
          <w:sz w:val="28"/>
          <w:szCs w:val="28"/>
        </w:rPr>
        <w:t>Органом местного самоуправления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eastAsia="ru-RU"/>
        </w:rPr>
        <w:t>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общедоступном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для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ознакомления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месте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скан-копия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отказ в выдаче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в Органе местного самоуправления, посредством Единого портала.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>
        <w:rPr>
          <w:sz w:val="28"/>
          <w:szCs w:val="28"/>
          <w:lang w:val="en-US"/>
        </w:rPr>
        <w:t>, – иной документ, подтверждающий исполнение застройщиком и иным лицом обязательств по договору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информации об оплате госпошлины»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цифрового развития, связи и массовых коммуникаций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 xml:space="preserve">Органы государственной власти субъекта Российской Федерации»,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Оценка сведений о заявителе и (или) объектах, принадлежащих заявителю, и (или) иных объектах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получения Услуги необходимо проведение процедуры оценки заявителя (объекта, принадлежащего заявителю).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процедуры оценки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Федерации.</w:t>
      </w:r>
    </w:p>
    <w:p>
      <w:pPr>
        <w:pStyle w:val="Normal"/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Процедуре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подлежит</w:t>
      </w:r>
      <w:r>
        <w:rPr>
          <w:sz w:val="28"/>
          <w:szCs w:val="28"/>
          <w:lang w:val="en-US"/>
        </w:rPr>
        <w:t xml:space="preserve"> Объект капитального строительства, 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оценки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  <w:lang w:val="en-US"/>
        </w:rPr>
        <w:t xml:space="preserve"> соответствие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eastAsia="ru-RU"/>
        </w:rPr>
        <w:t>Результатом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является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акт приемки объекта капитального строительства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Процедура проводится в срок, не превышающий </w:t>
      </w:r>
      <w:r>
        <w:rPr>
          <w:sz w:val="28"/>
          <w:szCs w:val="28"/>
          <w:lang w:val="en-US"/>
        </w:rPr>
        <w:t>2 рабочих дней</w:t>
      </w:r>
      <w:r>
        <w:rPr>
          <w:sz w:val="28"/>
          <w:szCs w:val="28"/>
          <w:lang w:eastAsia="ru-RU"/>
        </w:rPr>
        <w:t>. Срок исчисляется с даты завершения административной процедуры «</w:t>
      </w:r>
      <w:r>
        <w:rPr>
          <w:sz w:val="28"/>
          <w:szCs w:val="28"/>
        </w:rPr>
        <w:t>Межведомственное информационное взаимодействие</w:t>
      </w:r>
      <w:r>
        <w:rPr>
          <w:sz w:val="28"/>
          <w:szCs w:val="28"/>
          <w:lang w:eastAsia="ru-RU"/>
        </w:rPr>
        <w:t>».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6.2 статьи 55 Градостроительного кодекса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отказ в выдаче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>
        <w:rPr>
          <w:sz w:val="28"/>
          <w:szCs w:val="28"/>
          <w:lang w:val="en-US"/>
        </w:rPr>
        <w:t>, – правоустанавливающие документы на земельный участок, в том числе решение об установлении публичного сервитута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расположение объекта на земельном участке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во внесении изменений в разрешение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Органе местного самоуправления, посредством Единого портала, в МФЦ.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необходимые для получения разрешения на ввод объекта в эксплуатацию</w:t>
      </w:r>
      <w:r>
        <w:rPr>
          <w:sz w:val="28"/>
          <w:szCs w:val="28"/>
          <w:lang w:val="en-US"/>
        </w:rPr>
        <w:t>, – акт о подключении (технологическом присоединении) объекта капитального строительства к сетям инженерно-технического обеспечения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- основания для осуществления государственного кадастрового учета и (или) государственной регистрации прав</w:t>
      </w:r>
      <w:r>
        <w:rPr>
          <w:sz w:val="28"/>
          <w:szCs w:val="28"/>
          <w:lang w:val="en-US"/>
        </w:rPr>
        <w:t>, – технический план</w:t>
      </w:r>
      <w:r>
        <w:rPr>
          <w:sz w:val="28"/>
          <w:szCs w:val="28"/>
        </w:rPr>
        <w:t xml:space="preserve"> (в форме электронного документа в формате XML, заверенного усиленной квалифицированной электронной подписью кадастрового инженера</w:t>
      </w:r>
      <w:r>
        <w:rPr>
          <w:sz w:val="28"/>
          <w:szCs w:val="28"/>
          <w:lang w:val="en-US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 в сфере градостроительной деятельности</w:t>
      </w:r>
      <w:r>
        <w:rPr>
          <w:sz w:val="28"/>
          <w:szCs w:val="28"/>
          <w:lang w:val="en-US"/>
        </w:rPr>
        <w:t>,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документ, подписанный электронной подписью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предоставляется заявителем самостоятельно, если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</w:r>
      <w:r>
        <w:rPr>
          <w:sz w:val="28"/>
          <w:szCs w:val="28"/>
          <w:lang w:val="en-US"/>
        </w:rPr>
        <w:t>, –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разрешительные документы</w:t>
      </w:r>
      <w:r>
        <w:rPr>
          <w:sz w:val="28"/>
          <w:szCs w:val="28"/>
          <w:lang w:val="en-US"/>
        </w:rPr>
        <w:t>, – разрешение на строительство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скан-образ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оригинал или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документ, подтверждающий соответствие параметров объекта капитального строительства проектной документации</w:t>
      </w:r>
      <w:r>
        <w:rPr>
          <w:sz w:val="28"/>
          <w:szCs w:val="28"/>
          <w:lang w:val="en-US"/>
        </w:rPr>
        <w:t>,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государственной экологической экспертизы</w:t>
      </w:r>
      <w:r>
        <w:rPr>
          <w:sz w:val="28"/>
          <w:szCs w:val="28"/>
          <w:lang w:val="en-US"/>
        </w:rPr>
        <w:t>, – заключение государственной экологической экспертизы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проведение работ по сохранению объектов культурного наследия</w:t>
      </w:r>
      <w:r>
        <w:rPr>
          <w:sz w:val="28"/>
          <w:szCs w:val="28"/>
          <w:lang w:val="en-US"/>
        </w:rPr>
        <w:t>, – акт приемки выполненных работ по сохранению объекта культурного  наследия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>
        <w:rPr>
          <w:sz w:val="28"/>
          <w:szCs w:val="28"/>
          <w:lang w:val="en-US"/>
        </w:rPr>
        <w:t>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документы, являющиеся обязательными для представления, не представлены заявителем;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Градостроительный план земельного участка»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планировки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Проект межевания территории»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Разрешение на строительство»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 приемки объекта капитального строительства»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местного самоуправления»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документации»</w:t>
      </w:r>
      <w:r>
        <w:rPr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Указанный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информационный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запрос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направляется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ru-RU"/>
        </w:rPr>
        <w:t>«</w:t>
      </w:r>
      <w:r>
        <w:rPr>
          <w:sz w:val="28"/>
          <w:szCs w:val="28"/>
          <w:lang w:val="en-US"/>
        </w:rPr>
        <w:t>Органы государственной власти субъекта Российской Федерации»</w:t>
      </w:r>
      <w:r>
        <w:rPr>
          <w:sz w:val="28"/>
          <w:szCs w:val="28"/>
          <w:lang w:val="en-US" w:eastAsia="ru-RU"/>
        </w:rPr>
        <w:t>.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sz w:val="28"/>
          <w:szCs w:val="28"/>
          <w:lang w:val="en-US"/>
        </w:rPr>
        <w:t xml:space="preserve">1 рабочий день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регистрации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.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Срок получения ответа на указанный информационный запрос составляет не более </w:t>
      </w:r>
      <w:r>
        <w:rPr>
          <w:sz w:val="28"/>
          <w:szCs w:val="28"/>
          <w:lang w:val="en-US"/>
        </w:rPr>
        <w:t xml:space="preserve">48 часов </w:t>
      </w:r>
      <w:r>
        <w:rPr>
          <w:sz w:val="28"/>
          <w:szCs w:val="28"/>
        </w:rPr>
        <w:t>с момента направления межведомственного запроса.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во внесении изменений в разрешение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электронной форме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непредставление заявителем (представителем заявителя) документов (сведений), являющихся обязательными для представления;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государственной услуги документах не содержатся опечатки и ошибки;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электронной форме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непредставление заявителем (представителем заявителя) документов (сведений), являющихся обязательными для представления;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государственной услуги документах не содержатся опечатки и ошибки;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электронной форме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непредставление заявителем (представителем заявителя) документов (сведений), являющихся обязательными для представления;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государственной услуги документах не содержатся опечатки и ошибки;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электронной форме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непредставление заявителем (представителем заявителя) документов (сведений), являющихся обязательными для представления;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государственной услуги документах не содержатся опечатки и ошибки;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электронной форме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непредставление заявителем (представителем заявителя) документов (сведений), являющихся обязательными для представления;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государственной услуги документах не содержатся опечатки и ошибки;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разрешение на ввод объекта в эксплуатацию (документ на бумажном носителе или в электронной форме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исправленный документ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уведомление об отказе в исправлении опечаток и (или) ошибок (документ на бумажном носителе или в электронной форме</w:t>
      </w:r>
      <w:r>
        <w:rPr>
          <w:sz w:val="28"/>
          <w:szCs w:val="28"/>
        </w:rPr>
        <w:t>) (</w:t>
      </w:r>
      <w:r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sz w:val="28"/>
          <w:szCs w:val="28"/>
        </w:rPr>
        <w:t>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непредставление заявителем (представителем заявителя) документов (сведений), являющихся обязательными для представления;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в выданных в результате предоставления государственной услуги документах не содержатся опечатки и ошибки;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разрешение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уведомление об отказе в исправлении опечаток и (или) ошибок.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разрешения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разрешения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разрешения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физического лица в качестве индивидуального предпринимателя, – выписка из Единого государственного реестра индивидуальных предпринимателей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разрешения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разрешения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разрешения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разрешения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разрешения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разрешения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личность лица</w:t>
      </w:r>
      <w:r>
        <w:rPr>
          <w:sz w:val="28"/>
          <w:szCs w:val="28"/>
          <w:lang w:val="en-US"/>
        </w:rPr>
        <w:t>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документы, подтверждающие полномочия представителя</w:t>
      </w:r>
      <w:r>
        <w:rPr>
          <w:sz w:val="28"/>
          <w:szCs w:val="28"/>
          <w:lang w:val="en-US"/>
        </w:rPr>
        <w:t>, – доверенность, подтверждающая полномочия представителя заявителя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разрешения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tabs>
          <w:tab w:val="clear" w:pos="1134"/>
          <w:tab w:val="left" w:pos="1276" w:leader="none"/>
        </w:tabs>
        <w:spacing w:before="0" w:after="0"/>
        <w:ind w:left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ListParagraph"/>
        <w:keepNext w:val="true"/>
        <w:numPr>
          <w:ilvl w:val="0"/>
          <w:numId w:val="3"/>
        </w:numPr>
        <w:ind w:hanging="357" w:left="1429"/>
        <w:jc w:val="center"/>
        <w:outlineLvl w:val="1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keepNext w:val="true"/>
        <w:tabs>
          <w:tab w:val="clear" w:pos="1134"/>
          <w:tab w:val="left" w:pos="1276" w:leader="none"/>
        </w:tabs>
        <w:spacing w:before="0" w:after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Максимальный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предоставления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варианта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Услуги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5 рабочих дней с даты 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Результатом предоставления варианта Услуги </w:t>
      </w:r>
      <w:r>
        <w:rPr>
          <w:sz w:val="28"/>
          <w:szCs w:val="28"/>
        </w:rPr>
        <w:t>являются</w:t>
      </w:r>
      <w:r>
        <w:rPr>
          <w:sz w:val="28"/>
          <w:szCs w:val="28"/>
          <w:lang w:val="en-US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дубликат разрешения на ввод объекта в эксплуатацию (документ на бумажном носителе или документ в электронной форме</w:t>
      </w:r>
      <w:r>
        <w:rPr>
          <w:sz w:val="28"/>
          <w:szCs w:val="28"/>
        </w:rPr>
        <w:t>);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решение об отказе в выдаче дубликата разрешения на ввод объекта в эксплуатацию (документ на бумажном носителе или в форме электронного документа</w:t>
      </w:r>
      <w:r>
        <w:rPr>
          <w:sz w:val="28"/>
          <w:szCs w:val="28"/>
        </w:rPr>
        <w:t>).</w:t>
      </w:r>
    </w:p>
    <w:p>
      <w:pPr>
        <w:pStyle w:val="Normal"/>
        <w:tabs>
          <w:tab w:val="clear" w:pos="1134"/>
          <w:tab w:val="left" w:pos="1021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предоставление результата Услуги.</w:t>
      </w:r>
      <w:r>
        <w:rPr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В настоящем варианте предоставления Услуги не </w:t>
      </w:r>
      <w:r>
        <w:rPr>
          <w:sz w:val="28"/>
          <w:szCs w:val="28"/>
        </w:rPr>
        <w:t xml:space="preserve">приведена </w:t>
      </w:r>
      <w:r>
        <w:rPr>
          <w:sz w:val="28"/>
          <w:szCs w:val="28"/>
          <w:lang w:eastAsia="ru-RU"/>
        </w:rPr>
        <w:t xml:space="preserve">административная процедура </w:t>
      </w:r>
      <w:r>
        <w:rPr>
          <w:sz w:val="28"/>
          <w:szCs w:val="28"/>
        </w:rPr>
        <w:t>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заявителем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документов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sz w:val="28"/>
          <w:szCs w:val="28"/>
        </w:rPr>
        <w:t>приложении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</w:t>
      </w:r>
      <w:r>
        <w:rPr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sz w:val="28"/>
          <w:szCs w:val="28"/>
        </w:rPr>
        <w:t>в МФЦ, посредством Единого портала, в Органе местного самоуправления.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  <w:r>
        <w:rPr>
          <w:sz w:val="28"/>
          <w:szCs w:val="28"/>
          <w:lang w:val="en-US"/>
        </w:rPr>
        <w:t>, – документы, подтверждающие личность лица, – паспорт гражданина Российской Федерации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Единая система идентификации и аутентификации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предъявление оригинала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предъявление оригинала документа</w:t>
      </w:r>
      <w:r>
        <w:rPr>
          <w:sz w:val="28"/>
          <w:szCs w:val="28"/>
        </w:rPr>
        <w:t>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</w:t>
      </w:r>
      <w:r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>
        <w:rPr>
          <w:sz w:val="28"/>
          <w:szCs w:val="28"/>
          <w:lang w:val="en-US"/>
        </w:rPr>
        <w:t>, – документы, подтверждающие государственную регистрацию юридического лица или индивидуального предпринимателя, – выписка из Единого государственного реестра юридических лиц (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подаче</w:t>
      </w:r>
      <w:r>
        <w:rPr>
          <w:sz w:val="28"/>
          <w:szCs w:val="28"/>
          <w:lang w:val="en-US"/>
        </w:rPr>
        <w:t xml:space="preserve"> заявления посредством Единого портала: скан-копия документа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электронный документ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МФЦ: копия документа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в Органе местного самоуправления: оригинал или копия</w:t>
      </w:r>
      <w:r>
        <w:rPr>
          <w:sz w:val="28"/>
          <w:szCs w:val="28"/>
        </w:rPr>
        <w:t>).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;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 xml:space="preserve">– </w:t>
      </w:r>
      <w:r>
        <w:rPr>
          <w:sz w:val="28"/>
          <w:szCs w:val="28"/>
          <w:lang w:val="en-US"/>
        </w:rPr>
        <w:t>документ, удостоверяющий личность</w:t>
      </w:r>
      <w:r>
        <w:rPr>
          <w:sz w:val="28"/>
          <w:szCs w:val="28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Орган местного самоуправления отказывает заявителю в приеме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и документов при наличии </w:t>
      </w:r>
      <w:r>
        <w:rPr>
          <w:sz w:val="28"/>
          <w:szCs w:val="28"/>
          <w:lang w:eastAsia="ru-RU"/>
        </w:rPr>
        <w:t>следующих оснований: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наличие в документах недостоверной или неполной информации;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в документах, представленных заявителем,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Услуга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не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предусматривает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возможности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приема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  <w:lang w:eastAsia="ru-RU"/>
        </w:rPr>
        <w:t xml:space="preserve"> и документов, необходимых для предоставления варианта Услуги,</w:t>
      </w:r>
      <w:r>
        <w:rPr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Срок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регистрации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составляет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даты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подачи</w:t>
      </w:r>
      <w:r>
        <w:rPr>
          <w:sz w:val="28"/>
          <w:szCs w:val="28"/>
          <w:lang w:val="en-US"/>
        </w:rPr>
        <w:t xml:space="preserve"> заявления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МФЦ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Межведомственное информационное взаимодействие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Прием обращений в ФГИС ЕГРН»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служба государственной регистрации, кадастра и картографии»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Проверка действительности Паспорта Гражданина РФ по серии и номеру»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Министерство внутренних дел Российской Федерации»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Предоставление выписки из ЕГРЮЛ, ЕГРИП в форме электронного документа»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Указанный информационный запрос направляется в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</w:rPr>
        <w:t>Федеральная налоговая служба»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Орган местного самоуправления </w:t>
      </w:r>
      <w:r>
        <w:rPr>
          <w:sz w:val="28"/>
          <w:szCs w:val="28"/>
        </w:rPr>
        <w:t>отказывает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заявителю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Услуги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наличии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следующих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оснований</w:t>
      </w:r>
      <w:r>
        <w:rPr>
          <w:sz w:val="28"/>
          <w:szCs w:val="28"/>
          <w:lang w:val="en-US" w:eastAsia="ru-RU"/>
        </w:rPr>
        <w:t>:</w:t>
      </w:r>
      <w:r>
        <w:rPr>
          <w:sz w:val="28"/>
          <w:szCs w:val="28"/>
          <w:lang w:val="en-US"/>
        </w:rPr>
        <w:t xml:space="preserve"> 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заявитель не относится к кругу лиц, имеющих право на получение Услуги;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отсутствие правоустанавливающих документов на земельный участок в случае, если в Едином государственном реестре недвижимости не содержатся сведения о правоустанавливающих документах на земельный участок;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>сведения о документах, удостоверяющих личность, не соответствуют сведениям, имеющимся в распоряжении МВД России.</w:t>
      </w:r>
      <w:r>
        <w:rPr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  <w:szCs w:val="28"/>
        </w:rPr>
        <w:t>5 рабочих дней</w:t>
      </w:r>
      <w:r>
        <w:rPr>
          <w:sz w:val="28"/>
          <w:szCs w:val="28"/>
          <w:lang w:eastAsia="ru-RU"/>
        </w:rPr>
        <w:t xml:space="preserve"> со дня получения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Органом местного самоуправления</w:t>
      </w:r>
      <w:r>
        <w:rPr>
          <w:sz w:val="28"/>
          <w:szCs w:val="28"/>
          <w:lang w:eastAsia="ru-RU"/>
        </w:rPr>
        <w:t xml:space="preserve"> всех сведений, необходимых для принятия решения</w:t>
      </w:r>
      <w:r>
        <w:rPr>
          <w:sz w:val="28"/>
          <w:szCs w:val="28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>
        <w:rPr>
          <w:b/>
          <w:sz w:val="28"/>
          <w:szCs w:val="28"/>
          <w:lang w:val="en-US"/>
        </w:rPr>
        <w:t>Предоставление результата Услуги</w:t>
      </w:r>
      <w:r>
        <w:rPr>
          <w:b/>
          <w:bCs/>
          <w:sz w:val="28"/>
          <w:szCs w:val="28"/>
          <w:lang w:val="en-US" w:eastAsia="ru-RU"/>
        </w:rPr>
        <w:t xml:space="preserve"> 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Способы получения результата предоставления Услуги</w:t>
      </w:r>
      <w:r>
        <w:rPr>
          <w:sz w:val="28"/>
          <w:szCs w:val="28"/>
          <w:lang w:eastAsia="ru-RU"/>
        </w:rPr>
        <w:t>: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дубликат разрешения на ввод объекта в эксплуатацию;</w:t>
      </w:r>
    </w:p>
    <w:p>
      <w:pPr>
        <w:pStyle w:val="Normal"/>
        <w:numPr>
          <w:ilvl w:val="1"/>
          <w:numId w:val="5"/>
        </w:numPr>
        <w:tabs>
          <w:tab w:val="clear" w:pos="1134"/>
          <w:tab w:val="left" w:pos="1021" w:leader="none"/>
        </w:tabs>
        <w:spacing w:before="0" w:after="160"/>
        <w:ind w:firstLine="709" w:left="0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/>
        </w:rPr>
        <w:t xml:space="preserve">посредством Единого портала, в МФЦ, в Органе местного самоуправления </w:t>
      </w:r>
      <w:r>
        <w:rPr>
          <w:sz w:val="28"/>
          <w:szCs w:val="28"/>
          <w:lang w:val="en-US" w:eastAsia="ru-RU"/>
        </w:rPr>
        <w:t>–</w:t>
      </w:r>
      <w:r>
        <w:rPr>
          <w:sz w:val="28"/>
          <w:szCs w:val="28"/>
          <w:lang w:val="en-US"/>
        </w:rPr>
        <w:t xml:space="preserve"> решение об отказе в выдаче дубликата разрешения на ввод объекта в эксплуатацию.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Предоставление результата Услуги осуществляется в срок, не превышающий </w:t>
      </w:r>
      <w:r>
        <w:rPr>
          <w:sz w:val="28"/>
          <w:szCs w:val="28"/>
        </w:rPr>
        <w:t>3 рабочих дней</w:t>
      </w:r>
      <w:r>
        <w:rPr>
          <w:sz w:val="28"/>
          <w:szCs w:val="28"/>
          <w:lang w:eastAsia="ru-RU"/>
        </w:rPr>
        <w:t xml:space="preserve"> со дня принятия решения о предоставлении Услуги.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>
        <w:rPr>
          <w:sz w:val="28"/>
          <w:szCs w:val="28"/>
        </w:rPr>
        <w:t xml:space="preserve">Органа местного самоуправления </w:t>
      </w:r>
      <w:r>
        <w:rPr>
          <w:sz w:val="28"/>
          <w:szCs w:val="28"/>
          <w:lang w:eastAsia="ru-RU"/>
        </w:rPr>
        <w:t>настоящего Административного регламента, а также иных нормативных правовых актов, устанавливающих требования к предоставлению Услуги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принятием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ими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решений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осуществляется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гражданами, их объединениями и организациями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Текущий контроль осуществляется посредством проведения плановых и внеплановых проверок. 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Плановые проверки проводятся на основе ежегодно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утверждаемого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плана</w:t>
      </w:r>
      <w:r>
        <w:rPr>
          <w:sz w:val="28"/>
          <w:szCs w:val="28"/>
          <w:lang w:val="en-US" w:eastAsia="ru-RU"/>
        </w:rPr>
        <w:t xml:space="preserve">, </w:t>
      </w:r>
      <w:r>
        <w:rPr>
          <w:sz w:val="28"/>
          <w:szCs w:val="28"/>
          <w:lang w:eastAsia="ru-RU"/>
        </w:rPr>
        <w:t>а</w:t>
      </w:r>
      <w:r>
        <w:rPr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eastAsia="ru-RU"/>
        </w:rPr>
        <w:t>внеплановые</w:t>
      </w:r>
      <w:r>
        <w:rPr>
          <w:sz w:val="28"/>
          <w:szCs w:val="28"/>
          <w:lang w:val="en-US" w:eastAsia="ru-RU"/>
        </w:rPr>
        <w:t xml:space="preserve"> –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по решению лиц, ответственных за проведение проверок.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>
        <w:rPr>
          <w:sz w:val="28"/>
          <w:szCs w:val="28"/>
        </w:rPr>
        <w:t>Органа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</w:t>
      </w:r>
      <w:r>
        <w:rPr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sz w:val="28"/>
          <w:szCs w:val="28"/>
        </w:rPr>
        <w:t>посредством почтовой связи, на Региональном портале, по телефону, на официальном сайте Органа местного самоуправления в сети «Интернет», на Едином портале, при личном приеме заявителя в Органе местного самоуправления</w:t>
      </w:r>
      <w:r>
        <w:rPr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5"/>
        </w:numPr>
        <w:tabs>
          <w:tab w:val="clear" w:pos="1134"/>
          <w:tab w:val="left" w:pos="1276" w:leader="none"/>
        </w:tabs>
        <w:spacing w:before="0" w:after="160"/>
        <w:ind w:firstLine="709"/>
        <w:contextualSpacing/>
        <w:jc w:val="both"/>
        <w:rPr/>
      </w:pPr>
      <w:r>
        <w:rPr>
          <w:sz w:val="28"/>
          <w:szCs w:val="28"/>
          <w:lang w:eastAsia="ru-RU"/>
        </w:rPr>
        <w:t xml:space="preserve">Жалобы в форме электронных документов направляются </w:t>
      </w:r>
      <w:r>
        <w:rPr>
          <w:sz w:val="28"/>
          <w:szCs w:val="28"/>
        </w:rPr>
        <w:t>посредством официального сайта Органа власти в сети «Интернет», через портал Федеральной государственной информационной системы «Досудебное обжалование» http://do.gosuslugi.ru.</w:t>
      </w:r>
      <w:r>
        <w:rPr/>
        <w:t xml:space="preserve"> </w:t>
      </w:r>
    </w:p>
    <w:p>
      <w:pPr>
        <w:pStyle w:val="Normal"/>
        <w:tabs>
          <w:tab w:val="clear" w:pos="1134"/>
          <w:tab w:val="left" w:pos="1418" w:leader="none"/>
          <w:tab w:val="left" w:pos="1560" w:leader="none"/>
        </w:tabs>
        <w:spacing w:before="0"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sz w:val="28"/>
          <w:szCs w:val="28"/>
        </w:rPr>
        <w:t>путем направления почтового отправления, при личном обращении в Орган местного самоуправления.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№</w:t>
      </w:r>
    </w:p>
    <w:p>
      <w:pPr>
        <w:pStyle w:val="Normal"/>
        <w:jc w:val="both"/>
        <w:rPr>
          <w:b/>
          <w:bCs/>
          <w:sz w:val="28"/>
          <w:szCs w:val="28"/>
          <w:lang w:val="en-US" w:eastAsia="ru-RU"/>
        </w:rPr>
      </w:pPr>
      <w:r>
        <w:rPr>
          <w:b/>
          <w:bCs/>
          <w:sz w:val="28"/>
          <w:szCs w:val="28"/>
          <w:lang w:val="en-US" w:eastAsia="ru-RU"/>
        </w:rPr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before="240" w:after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 xml:space="preserve">№ </w:t>
            </w: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kern w:val="0"/>
                <w:szCs w:val="20"/>
                <w:lang w:val="ru-RU" w:eastAsia="ru-RU" w:bidi="ar-SA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Выдача разрешения на ввод объекта в эксплуатацию»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линейный объект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Внесение изменений в разрешение на ввод объекта в эксплуатацию»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представителя, право на земельный участок не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зарегистрировано в ЕГРН, линейный объект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объект капитального строительства (кроме линейных объектов)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доверенности, право на земельный участок не зарегистрировано в ЕГРН, линейный объект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both"/>
              <w:rPr>
                <w:i/>
                <w:i/>
                <w:iCs/>
                <w:szCs w:val="20"/>
                <w:lang w:eastAsia="ru-RU"/>
              </w:rPr>
            </w:pPr>
            <w:r>
              <w:rPr>
                <w:i/>
                <w:kern w:val="0"/>
                <w:szCs w:val="20"/>
                <w:lang w:val="ru-RU" w:eastAsia="en-US" w:bidi="ar-SA"/>
              </w:rPr>
              <w:t xml:space="preserve">Результат Услуги, за которым обращается заявитель </w:t>
            </w:r>
            <w:r>
              <w:rPr>
                <w:i/>
                <w:iCs/>
                <w:kern w:val="0"/>
                <w:szCs w:val="20"/>
                <w:lang w:val="ru-RU" w:eastAsia="ru-RU" w:bidi="ar-SA"/>
              </w:rPr>
              <w:t>«</w:t>
            </w:r>
            <w:r>
              <w:rPr>
                <w:i/>
                <w:kern w:val="0"/>
                <w:szCs w:val="20"/>
                <w:lang w:val="ru-RU" w:eastAsia="en-US" w:bidi="ar-SA"/>
              </w:rPr>
              <w:t>Получение дубликата разрешения на ввод объекта в эксплуатацию»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Индивидуальный предприниматель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Физическое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через уполномоченного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4"/>
              </w:numPr>
              <w:tabs>
                <w:tab w:val="clear" w:pos="1134"/>
              </w:tabs>
              <w:spacing w:before="0" w:after="0"/>
              <w:ind w:right="-536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before="0" w:after="160"/>
              <w:jc w:val="left"/>
              <w:rPr>
                <w:szCs w:val="20"/>
              </w:rPr>
            </w:pPr>
            <w:r>
              <w:rPr>
                <w:kern w:val="0"/>
                <w:szCs w:val="20"/>
                <w:lang w:val="en-US" w:eastAsia="en-US" w:bidi="ar-SA"/>
              </w:rPr>
              <w:t>Юридическое лицо</w:t>
            </w:r>
            <w:r>
              <w:rPr>
                <w:kern w:val="0"/>
                <w:szCs w:val="20"/>
                <w:lang w:val="ru-RU" w:eastAsia="en-US" w:bidi="ar-SA"/>
              </w:rPr>
              <w:t>, личное обращение/обращение через лицо, имеющее право представлять интересы юрлица без доверенности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976"/>
        <w:gridCol w:w="5955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szCs w:val="20"/>
                <w:lang w:eastAsia="ru-RU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Выдача разрешения на ввод объекта в эксплуатацию»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Каким образом обращается заявитель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Через уполномоченного представителя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земельный участок зарегистрировано в ЕГРН?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на земельный участок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на земельный участок не зарегистрировано в ЕГРН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Тип объекта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Объект капитального строительства (кроме линейных объектов)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Линейный объект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Внесение изменений в разрешение на ввод объекта в эксплуатацию»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Каким образом обращается заявитель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Через уполномоченного представителя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Право на земельный участок зарегистрировано в ЕГРН?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Право на земельный участок зарегистрировано в ЕГРН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Право на земельный участок не зарегистрировано в ЕГРН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Тип объекта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Объект капитального строительства (кроме линейных объектов)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Линейный объект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Каким образом обращается заявитель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Через уполномоченного представителя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Личное обращение/обращение через лицо, имеющее право представлять интересы юрлица без доверенности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i/>
                <w:szCs w:val="20"/>
              </w:rPr>
              <w:t>Результат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szCs w:val="20"/>
              </w:rPr>
              <w:t>Услуги</w:t>
            </w:r>
            <w:r>
              <w:rPr>
                <w:i/>
                <w:szCs w:val="20"/>
                <w:lang w:val="en-US"/>
              </w:rPr>
              <w:t xml:space="preserve"> </w:t>
            </w:r>
            <w:r>
              <w:rPr>
                <w:i/>
                <w:iCs/>
                <w:szCs w:val="20"/>
                <w:lang w:val="en-US" w:eastAsia="ru-RU"/>
              </w:rPr>
              <w:t>«</w:t>
            </w:r>
            <w:r>
              <w:rPr>
                <w:i/>
                <w:szCs w:val="20"/>
                <w:lang w:val="en-US"/>
              </w:rPr>
              <w:t>Получение дубликата разрешения на ввод объекта в эксплуатацию»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Категория заявителя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Индивидуальный предприниматель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Физическое лицо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3. Юридическое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1134"/>
              </w:tabs>
              <w:ind w:right="-53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>
              <w:rPr>
                <w:szCs w:val="20"/>
                <w:lang w:val="en-US"/>
              </w:rPr>
              <w:t>Каким образом обращается заявитель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1. Через уполномоченного представителя</w:t>
            </w:r>
            <w:r>
              <w:rPr>
                <w:szCs w:val="20"/>
              </w:rPr>
              <w:t>.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  <w:lang w:val="en-US"/>
              </w:rPr>
              <w:t>2. Личное обращение/обращение через лицо, имеющее право представлять интересы юрлица без доверенности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/>
        <w:ind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br w:type="page"/>
      </w:r>
    </w:p>
    <w:p>
      <w:pPr>
        <w:pStyle w:val="NoSpacing"/>
        <w:numPr>
          <w:ilvl w:val="0"/>
          <w:numId w:val="0"/>
        </w:numPr>
        <w:spacing w:before="0" w:after="0"/>
        <w:ind w:left="6237"/>
        <w:outlineLvl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  <w:lang w:val="en-US"/>
        </w:rPr>
        <w:t xml:space="preserve"> № 2</w:t>
      </w:r>
    </w:p>
    <w:p>
      <w:pPr>
        <w:pStyle w:val="NoSpacing"/>
        <w:ind w:left="6237"/>
        <w:rPr>
          <w:sz w:val="28"/>
          <w:szCs w:val="28"/>
          <w:lang w:val="en-US"/>
        </w:rPr>
      </w:pPr>
      <w:r>
        <w:rPr>
          <w:sz w:val="28"/>
          <w:szCs w:val="28"/>
        </w:rPr>
        <w:t>к Административному регламенту, утвержденному постановлением</w:t>
      </w:r>
      <w:r>
        <w:rPr>
          <w:sz w:val="28"/>
          <w:szCs w:val="28"/>
          <w:lang w:val="en-US"/>
        </w:rPr>
        <w:t xml:space="preserve"> Администрации Вилючинского городского округа </w:t>
      </w:r>
      <w:r>
        <w:rPr>
          <w:sz w:val="28"/>
          <w:szCs w:val="28"/>
        </w:rPr>
        <w:t>от</w:t>
      </w:r>
      <w:r>
        <w:rPr>
          <w:sz w:val="28"/>
          <w:szCs w:val="28"/>
          <w:lang w:val="en-US"/>
        </w:rPr>
        <w:t xml:space="preserve">  №</w:t>
      </w:r>
    </w:p>
    <w:p>
      <w:pPr>
        <w:pStyle w:val="1TimesNewRoman12"/>
        <w:tabs>
          <w:tab w:val="clear" w:pos="851"/>
        </w:tabs>
        <w:spacing w:lineRule="auto" w:line="240"/>
        <w:ind w:hanging="0"/>
        <w:jc w:val="left"/>
        <w:rPr>
          <w:sz w:val="20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1 – 24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 выдаче разрешения на ввод объекта в эксплуатацию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сокращенное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 капитального строительства: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объекта капитального строительства в соответствии с проектной документацией: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адрес (местоположение) объекта::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Реквизиты разрешения на строительство: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организация: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срок действия: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предоставить кадастровый номер объекта: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объекта недвижимости: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Фактические показатели объекта капитального строительства и сведения о техническом плане: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объекта капитального строительства, предусмотренного проектной документацией: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вид объекта капитального строительства (указывается один из видов объектов капитального строительства: здание, строение, сооружение):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назначение объекта: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реконструированного объекта капитального строительства (указывается кадастровый номер реконструированного объекта капитального строительства. В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Едином государственном реестре недвижимости объекта культурного наследия):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застройки (кв.м):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общая площадь (кв.м):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нежилых помещений (кв.м):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площадь жилых помещений (кв.м):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помещений (шт.):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нежилых помещений (шт.):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жилых помещений (шт.):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том числе квартир (шт.):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машино-мест (шт.):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количество этажей: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том числе, количество подземных этажей: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вместимость (чел.):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высота (м)::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иные показатели (при наличии указываются основные характеристики объекта капитального строительства в объеме, необходимом для осуществления государственного кадастрового учета такого объекта (объем, глубина, глубина залегания и т.п.), также могут быть указаны иные, не указанные выше, характеристики объекта капитального строительства, иные характеристики также указываются в отношении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подготовки технического плана: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страховой номер индивидуального лицевого счета кадастрового инженера, подготовившего технический план: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Фактические показатели линейного объекта и сведения о техническом плане: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линейного объекта, предусмотренного проектной документацией: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кадастровый номер реконструированного линейного объекта: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протяженность (м):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категория (класс):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мощность (пропускная способность, грузооборот, интенсивность движения):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тип (КЛ, ВЛ, КВЛ), уровень напряжения линий электропередачи: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иные показатели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подготовки технического плана: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страховой номер индивидуального лицевого счета кадастрового инженера, подготовившего технический план: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25 – 48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 внесении изменений в разрешение на ввод объекта в эксплуатацию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В соответствии с частью 2.2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сокращенное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разрешении на ввод объекта капитального строительства в эксплуатацию: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органа, выдавшего документ: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Сведения, подлежащие изменению: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Текущая редакция: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Новая редакция: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подачи заявления и подпись заявителя: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датa: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подпись: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49 – 54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об исправлении ошибок (опечаток)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сокращенное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(при наличии):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допущенных опечатках и (или) ошибках: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опечаток: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описание ошибок: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правильное написание соответствующих сведений: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документа: __.__________.____ </w:t>
      </w:r>
      <w:r>
        <w:rPr>
          <w:sz w:val="24"/>
          <w:szCs w:val="24"/>
        </w:rPr>
        <w:t>г</w:t>
      </w:r>
      <w:r>
        <w:rPr>
          <w:sz w:val="24"/>
          <w:szCs w:val="24"/>
          <w:lang w:val="en-US"/>
        </w:rPr>
        <w:t xml:space="preserve">.;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номер документа: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Органе власти: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. </w:t>
      </w:r>
      <w:r>
        <w:br w:type="page"/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 w:before="0" w:after="0"/>
        <w:rPr>
          <w:sz w:val="28"/>
          <w:szCs w:val="28"/>
          <w:lang w:val="en-US"/>
        </w:rPr>
      </w:pPr>
      <w:r>
        <w:rPr>
          <w:sz w:val="20"/>
          <w:lang w:val="en-US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/>
        <w:ind w:hanging="0" w:left="720"/>
        <w:jc w:val="right"/>
        <w:rPr>
          <w:sz w:val="20"/>
          <w:u w:val="single"/>
          <w:lang w:val="en-US"/>
        </w:rPr>
      </w:pPr>
      <w:r>
        <w:rPr>
          <w:sz w:val="20"/>
          <w:u w:val="single"/>
        </w:rPr>
        <w:t>ФОРМА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к</w:t>
      </w:r>
      <w:r>
        <w:rPr>
          <w:sz w:val="20"/>
          <w:u w:val="single"/>
          <w:lang w:val="en-US"/>
        </w:rPr>
        <w:t xml:space="preserve"> </w:t>
      </w:r>
      <w:r>
        <w:rPr>
          <w:sz w:val="20"/>
          <w:u w:val="single"/>
        </w:rPr>
        <w:t>вариантам</w:t>
      </w:r>
      <w:r>
        <w:rPr>
          <w:sz w:val="20"/>
          <w:u w:val="single"/>
          <w:lang w:val="en-US"/>
        </w:rPr>
        <w:t xml:space="preserve"> 55 – 60</w:t>
      </w:r>
    </w:p>
    <w:p>
      <w:pPr>
        <w:pStyle w:val="Normal"/>
        <w:rPr>
          <w:szCs w:val="20"/>
          <w:lang w:val="en-US"/>
        </w:rPr>
      </w:pPr>
      <w:r>
        <w:rPr>
          <w:sz w:val="24"/>
          <w:szCs w:val="24"/>
          <w:lang w:val="en-US"/>
        </w:rPr>
        <w:t xml:space="preserve"> </w:t>
      </w:r>
    </w:p>
    <w:p>
      <w:pPr>
        <w:pStyle w:val="Normal"/>
        <w:spacing w:lineRule="exact" w:line="360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Заявление о выдаче дубликата разрешения на ввод объекта в эксплуатацию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 заявителе: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ФИО заявителя (отчество 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документа, удостоверяющего личность: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серия, номер: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кем выдан: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дата выдачи: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СНИЛС: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ОГРНИП: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полное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сокращенное наименование юридического лица: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фамилия, имя, отчество (при наличии) индивидуального предпринимателя: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ИНН (при наличии): </w:t>
        <w:tab/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ОГРН: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Сведения об объекте капитального строительства: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наименование объекта капитального строительства в соответствии с проектной документацией: </w:t>
        <w:tab/>
        <w:t>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Даю согласие на обработку персональных данных в соответствии с Федеральным законом от 27.07.2006 № 152-ФЗ «О персональных данных».</w:t>
      </w:r>
    </w:p>
    <w:p>
      <w:pPr>
        <w:pStyle w:val="Normal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keepNext w:val="true"/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Способ получения результата Услуги: 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на адрес электронной почты: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с использованием личного кабинета на Едином портале: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 xml:space="preserve">; </w:t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709" w:top="766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keepNext w:val="true"/>
        <w:tabs>
          <w:tab w:val="clear" w:pos="1134"/>
          <w:tab w:val="left" w:pos="10065" w:leader="underscore"/>
        </w:tabs>
        <w:spacing w:lineRule="exact" w:line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в МФЦ (в случае подачи заявления через МФЦ): </w:t>
      </w:r>
      <w:sdt>
        <w:sdtPr>
          <w:id w:val="973489833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да</w:t>
      </w:r>
      <w:r>
        <w:rPr>
          <w:sz w:val="24"/>
          <w:szCs w:val="24"/>
          <w:lang w:val="en-US"/>
        </w:rPr>
        <w:t xml:space="preserve">, </w:t>
      </w:r>
      <w:sdt>
        <w:sdtPr>
          <w:id w:val="534310536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sz w:val="24"/>
              <w:szCs w:val="24"/>
              <w:lang w:val="en-US"/>
            </w:rPr>
          </w:r>
          <w:r>
            <w:rPr>
              <w:rFonts w:eastAsia="MS Gothic" w:cs="Segoe UI Symbol" w:ascii="Segoe UI Symbol" w:hAnsi="Segoe UI Symbol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нет</w:t>
      </w:r>
      <w:r>
        <w:rPr>
          <w:sz w:val="24"/>
          <w:szCs w:val="24"/>
          <w:lang w:val="en-US"/>
        </w:rPr>
        <w:t>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Liberation Serif" w:hAnsi="Liberation Serif" w:eastAsia="Open Sans" w:cs="Tahoma"/>
          <w:color w:val="000000"/>
          <w:sz w:val="24"/>
          <w:szCs w:val="24"/>
          <w:lang w:val="ru-RU" w:eastAsia="zh-CN" w:bidi="hi-IN"/>
        </w:rPr>
      </w:pPr>
      <w:r>
        <w:rPr>
          <w:rFonts w:eastAsia="Times New Roman" w:cs="Times New Roman"/>
          <w:color w:val="000000"/>
          <w:sz w:val="28"/>
          <w:szCs w:val="24"/>
          <w:lang w:val="ru-RU" w:eastAsia="zh-CN" w:bidi="hi-IN"/>
        </w:rPr>
        <w:t xml:space="preserve">Приложение № 3 к Административному регламенту, утвержденному постановлением Администрации Вилючинского городского округа от  № </w:t>
      </w:r>
    </w:p>
    <w:p>
      <w:pPr>
        <w:pStyle w:val="Normal"/>
        <w:widowControl w:val="false"/>
        <w:rPr>
          <w:rFonts w:ascii="Liberation Serif" w:hAnsi="Liberation Serif" w:eastAsia="Open Sans" w:cs="Tahoma"/>
          <w:color w:val="000000"/>
          <w:sz w:val="24"/>
          <w:szCs w:val="24"/>
          <w:lang w:val="ru-RU" w:eastAsia="zh-CN" w:bidi="hi-IN"/>
        </w:rPr>
      </w:pPr>
      <w:r>
        <w:rPr>
          <w:rFonts w:eastAsia="Open Sans" w:cs="Tahoma" w:ascii="Liberation Serif" w:hAnsi="Liberation Serif"/>
          <w:color w:val="000000"/>
          <w:sz w:val="28"/>
          <w:szCs w:val="24"/>
          <w:lang w:val="ru-RU" w:eastAsia="zh-CN" w:bidi="hi-IN"/>
        </w:rPr>
        <w:t xml:space="preserve"> </w:t>
      </w:r>
    </w:p>
    <w:p>
      <w:pPr>
        <w:pStyle w:val="Style23"/>
        <w:ind w:firstLine="680" w:left="0" w:right="0"/>
        <w:jc w:val="right"/>
        <w:rPr/>
      </w:pPr>
      <w:r>
        <w:rPr>
          <w:b/>
          <w:color w:val="26282F"/>
        </w:rPr>
        <w:t>Форма</w:t>
      </w:r>
    </w:p>
    <w:p>
      <w:pPr>
        <w:pStyle w:val="Style23"/>
        <w:rPr/>
      </w:pPr>
      <w:r>
        <w:rPr/>
      </w:r>
    </w:p>
    <w:p>
      <w:pPr>
        <w:pStyle w:val="Heading1"/>
        <w:numPr>
          <w:ilvl w:val="0"/>
          <w:numId w:val="6"/>
        </w:numPr>
        <w:outlineLvl w:val="0"/>
        <w:rPr/>
      </w:pPr>
      <w:r>
        <w:rPr/>
        <w:t>Разрешение на ввод объекта в эксплуатацию</w:t>
      </w:r>
    </w:p>
    <w:p>
      <w:pPr>
        <w:pStyle w:val="Style29"/>
        <w:rPr/>
      </w:pPr>
      <w:r>
        <w:rPr/>
        <w:t>С изменениями и дополнениями от:</w:t>
      </w:r>
    </w:p>
    <w:p>
      <w:pPr>
        <w:pStyle w:val="Style29"/>
        <w:rPr/>
      </w:pPr>
      <w:r>
        <w:rPr/>
        <w:t>2 сентября 2022 г.</w:t>
      </w:r>
    </w:p>
    <w:p>
      <w:pPr>
        <w:pStyle w:val="Style23"/>
        <w:rPr/>
      </w:pPr>
      <w:r>
        <w:rPr/>
      </w:r>
    </w:p>
    <w:p>
      <w:pPr>
        <w:pStyle w:val="Style23"/>
        <w:ind w:firstLine="680" w:left="0" w:right="0"/>
        <w:jc w:val="right"/>
        <w:rPr/>
      </w:pPr>
      <w:r>
        <w:rPr/>
        <w:t>стр.________________</w:t>
      </w:r>
      <w:r>
        <w:rPr>
          <w:vertAlign w:val="superscript"/>
        </w:rPr>
        <w:t> </w:t>
      </w:r>
      <w:hyperlink r:id="rId8">
        <w:r>
          <w:rPr>
            <w:rStyle w:val="ListLabel335"/>
            <w:color w:val="000080"/>
            <w:u w:val="single"/>
            <w:vertAlign w:val="superscript"/>
          </w:rPr>
          <w:t>1</w:t>
        </w:r>
      </w:hyperlink>
    </w:p>
    <w:p>
      <w:pPr>
        <w:pStyle w:val="Style23"/>
        <w:rPr/>
      </w:pPr>
      <w:r>
        <w:rPr/>
      </w:r>
    </w:p>
    <w:tbl>
      <w:tblPr>
        <w:tblW w:w="10091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5382"/>
        <w:gridCol w:w="4708"/>
      </w:tblGrid>
      <w:tr>
        <w:trPr/>
        <w:tc>
          <w:tcPr>
            <w:tcW w:w="10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Heading1"/>
              <w:numPr>
                <w:ilvl w:val="0"/>
                <w:numId w:val="1"/>
              </w:numPr>
              <w:spacing w:before="240" w:after="120"/>
              <w:outlineLvl w:val="0"/>
              <w:rPr/>
            </w:pPr>
            <w:r>
              <w:rPr/>
              <w:t>Раздел 1. Реквизиты разрешения на ввод объекта в эксплуатацию</w:t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1.1. Дата разрешения на ввод объекта в эксплуатацию</w:t>
            </w:r>
            <w:r>
              <w:rPr>
                <w:vertAlign w:val="superscript"/>
              </w:rPr>
              <w:t> </w:t>
            </w:r>
            <w:hyperlink r:id="rId9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1.2. Номер разрешения на ввод объекта в эксплуатацию</w:t>
            </w:r>
            <w:r>
              <w:rPr>
                <w:vertAlign w:val="superscript"/>
              </w:rPr>
              <w:t> </w:t>
            </w:r>
            <w:hyperlink r:id="rId10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3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1.3. Наименование органа (организации)</w:t>
            </w:r>
            <w:r>
              <w:rPr>
                <w:vertAlign w:val="superscript"/>
              </w:rPr>
              <w:t> </w:t>
            </w:r>
            <w:hyperlink r:id="rId11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4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1.4. Дата внесения изменений или исправлений</w:t>
            </w:r>
            <w:r>
              <w:rPr>
                <w:vertAlign w:val="superscript"/>
              </w:rPr>
              <w:t> </w:t>
            </w:r>
            <w:hyperlink r:id="rId12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5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Heading1"/>
              <w:numPr>
                <w:ilvl w:val="0"/>
                <w:numId w:val="1"/>
              </w:numPr>
              <w:spacing w:before="240" w:after="120"/>
              <w:outlineLvl w:val="0"/>
              <w:rPr/>
            </w:pPr>
            <w:r>
              <w:rPr/>
              <w:t>Раздел 2. Информация о застройщике</w:t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2.1. Сведения о физическом лице или индивидуальном предпринимателе:</w:t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2.1.1. Фамилия: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2.1.2. Имя: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2.1.3. Отчество</w:t>
            </w:r>
            <w:r>
              <w:rPr>
                <w:vertAlign w:val="superscript"/>
              </w:rPr>
              <w:t> </w:t>
            </w:r>
            <w:hyperlink r:id="rId13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6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2.1.4. ИНН: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2.1.5. ОГРНИП</w:t>
            </w:r>
            <w:r>
              <w:rPr>
                <w:vertAlign w:val="superscript"/>
              </w:rPr>
              <w:t> </w:t>
            </w:r>
            <w:hyperlink r:id="rId14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7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2.2. Сведения о юридическом лице:</w:t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2.2.1. Полное наименование</w:t>
            </w:r>
            <w:r>
              <w:rPr>
                <w:vertAlign w:val="superscript"/>
              </w:rPr>
              <w:t> </w:t>
            </w:r>
            <w:hyperlink r:id="rId15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8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2.2.2. ИНН: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2.2.3. ОГРН: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Heading1"/>
              <w:numPr>
                <w:ilvl w:val="0"/>
                <w:numId w:val="1"/>
              </w:numPr>
              <w:spacing w:before="240" w:after="120"/>
              <w:outlineLvl w:val="0"/>
              <w:rPr/>
            </w:pPr>
            <w:r>
              <w:rPr/>
              <w:t>Раздел 3. Информация об объекте капитального строительства</w:t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3.2. Вид выполненных работ в отношении объекта капитального строительства</w:t>
            </w:r>
            <w:r>
              <w:rPr>
                <w:vertAlign w:val="superscript"/>
              </w:rPr>
              <w:t> </w:t>
            </w:r>
            <w:hyperlink r:id="rId16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9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 Адрес (местоположение) объекта капитального строительства</w:t>
            </w:r>
            <w:r>
              <w:rPr>
                <w:vertAlign w:val="superscript"/>
              </w:rPr>
              <w:t> </w:t>
            </w:r>
            <w:hyperlink r:id="rId17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10</w:t>
              </w:r>
            </w:hyperlink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3.3.1. Субъект Российской Федерации: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3.3.2. Муниципальный район, муниципальный округ, городской округ или внутригородская территория (для городов федерального значения) в составе субъекта Российской Федерации, федеральная территория: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3.3.3. Городское или сельское поселение в составе муниципального района (для муниципального района) или внутригородского района городского округа (за исключением зданий, строений, сооружений, расположенных на федеральных территориях):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3.3.4. Тип и наименование населенного пункта: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3.3.5. Наименование элемента планировочной структуры: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3.3.6. Наименование элемента улично-дорожной сети: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3.3.7. Тип и номер здания (сооружения):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Heading1"/>
              <w:numPr>
                <w:ilvl w:val="0"/>
                <w:numId w:val="1"/>
              </w:numPr>
              <w:spacing w:before="240" w:after="120"/>
              <w:outlineLvl w:val="0"/>
              <w:rPr/>
            </w:pPr>
            <w:r>
              <w:rPr/>
              <w:t>Раздел 4. Информация о земельном участке</w:t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4.1. Кадастровый номер земельного участка (земельных участков), в границах которого (которых) расположен объект капитального строительства</w:t>
            </w:r>
            <w:r>
              <w:rPr>
                <w:vertAlign w:val="superscript"/>
              </w:rPr>
              <w:t> </w:t>
            </w:r>
            <w:hyperlink r:id="rId18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11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Heading1"/>
              <w:numPr>
                <w:ilvl w:val="0"/>
                <w:numId w:val="1"/>
              </w:numPr>
              <w:spacing w:before="240" w:after="120"/>
              <w:outlineLvl w:val="0"/>
              <w:rPr/>
            </w:pPr>
            <w:r>
              <w:rPr/>
              <w:t>Раздел 5. Сведения о разрешении на строительство, на основании которого осуществлялось строительство, реконструкция объекта капитального строительства</w:t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5.1. Дата разрешения на строительство: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5.2. Номер разрешения на строительство: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5.3. Наименование органа (организации), выдавшего разрешение на строительство: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ind w:hanging="0" w:left="0" w:right="0"/>
              <w:jc w:val="center"/>
              <w:rPr/>
            </w:pPr>
            <w:r>
              <w:rPr>
                <w:b/>
                <w:color w:val="26282F"/>
              </w:rPr>
              <w:t>Раздел 6. Фактические показатели объекта капитального строительства и сведения о техническом плане</w:t>
            </w:r>
            <w:r>
              <w:rPr>
                <w:b/>
                <w:color w:val="26282F"/>
                <w:vertAlign w:val="superscript"/>
              </w:rPr>
              <w:t> </w:t>
            </w:r>
            <w:hyperlink r:id="rId19">
              <w:r>
                <w:rPr>
                  <w:rStyle w:val="ListLabel336"/>
                  <w:b/>
                  <w:color w:val="26282F"/>
                  <w:u w:val="single"/>
                  <w:vertAlign w:val="superscript"/>
                </w:rPr>
                <w:t>12</w:t>
              </w:r>
            </w:hyperlink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Наименование объекта капитального строительства, предусмотренного проектной документацией</w:t>
            </w:r>
            <w:r>
              <w:rPr>
                <w:vertAlign w:val="superscript"/>
              </w:rPr>
              <w:t> </w:t>
            </w:r>
            <w:hyperlink r:id="rId20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13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1. Вид объекта капитального строительства</w:t>
            </w:r>
            <w:r>
              <w:rPr>
                <w:vertAlign w:val="superscript"/>
              </w:rPr>
              <w:t> </w:t>
            </w:r>
            <w:hyperlink r:id="rId21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14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6.Х.2. Назначение объекта</w:t>
            </w:r>
            <w:r>
              <w:rPr>
                <w:vertAlign w:val="superscript"/>
              </w:rPr>
              <w:t> </w:t>
            </w:r>
            <w:hyperlink r:id="rId22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15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6.Х.З. Кадастровый номер реконструированного объекта капитального строительства</w:t>
            </w:r>
            <w:r>
              <w:rPr>
                <w:vertAlign w:val="superscript"/>
              </w:rPr>
              <w:t> </w:t>
            </w:r>
            <w:hyperlink r:id="rId23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16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6.Х.4. Площадь застройки (кв.м)</w:t>
            </w:r>
            <w:r>
              <w:rPr>
                <w:vertAlign w:val="superscript"/>
              </w:rPr>
              <w:t> </w:t>
            </w:r>
            <w:hyperlink r:id="rId24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17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6.Х.4.1. Площадь застройки части объекта капитального строительства (кв.м)</w:t>
            </w:r>
            <w:r>
              <w:rPr>
                <w:vertAlign w:val="superscript"/>
              </w:rPr>
              <w:t> </w:t>
            </w:r>
            <w:hyperlink r:id="rId25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18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6.Х.5. Площадь (кв.м)</w:t>
            </w:r>
            <w:r>
              <w:rPr>
                <w:vertAlign w:val="superscript"/>
              </w:rPr>
              <w:t> </w:t>
            </w:r>
            <w:hyperlink r:id="rId26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19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6.Х.5.1. Площадь части объекта капитального строительства (кв.м)</w:t>
            </w:r>
            <w:r>
              <w:rPr>
                <w:vertAlign w:val="superscript"/>
              </w:rPr>
              <w:t> </w:t>
            </w:r>
            <w:hyperlink r:id="rId27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20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6.Х.6. Площадь нежилых помещений (кв.м):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6.Х.7. Общая площадь жилых помещений (с учетом балконов, лоджий, веранд и террас) (кв. м):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ind w:hanging="0" w:left="0" w:right="0"/>
              <w:rPr/>
            </w:pPr>
            <w:r>
              <w:rPr/>
              <w:t>6.Х.7.1. Общая площадь жилых помещений (за исключением балконов, лоджий, веранд и террас) (кв. м):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6.Х.8. Количество помещений (штук):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6.Х.9. Количество нежилых помещений (штук):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10. Количество жилых помещений (штук):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11. в том числе квартир (штук):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12. Количество машино-мест (штук):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13. Количество этажей: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14. в том числе, количество подземных этажей: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15. Вместимость (человек):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16. Высота (м):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17. Класс энергической эффективности (при наличии)</w:t>
            </w:r>
            <w:r>
              <w:rPr>
                <w:vertAlign w:val="superscript"/>
              </w:rPr>
              <w:t> </w:t>
            </w:r>
            <w:hyperlink r:id="rId28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21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18. Иные показатели</w:t>
            </w:r>
            <w:r>
              <w:rPr>
                <w:vertAlign w:val="superscript"/>
              </w:rPr>
              <w:t> </w:t>
            </w:r>
            <w:hyperlink r:id="rId29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22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 19. Дата подготовки технического плана: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6.Х.20.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100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ind w:hanging="0" w:left="0" w:right="0"/>
              <w:jc w:val="center"/>
              <w:rPr/>
            </w:pPr>
            <w:r>
              <w:rPr>
                <w:b/>
                <w:color w:val="26282F"/>
              </w:rPr>
              <w:t>Раздел 7. Фактические показатели линейного объекта и сведения о техническом плане</w:t>
            </w:r>
            <w:r>
              <w:rPr>
                <w:b/>
                <w:color w:val="26282F"/>
                <w:vertAlign w:val="superscript"/>
              </w:rPr>
              <w:t> </w:t>
            </w:r>
            <w:hyperlink r:id="rId30">
              <w:r>
                <w:rPr>
                  <w:rStyle w:val="ListLabel336"/>
                  <w:b/>
                  <w:color w:val="26282F"/>
                  <w:u w:val="single"/>
                  <w:vertAlign w:val="superscript"/>
                </w:rPr>
                <w:t>23</w:t>
              </w:r>
            </w:hyperlink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 Наименование линейного объекта, предусмотренного проектной документацией</w:t>
            </w:r>
            <w:r>
              <w:rPr>
                <w:vertAlign w:val="superscript"/>
              </w:rPr>
              <w:t> </w:t>
            </w:r>
            <w:hyperlink r:id="rId31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24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 1. Кадастровый номер реконструированного линейного объекта: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7.Х.2. Протяженность (м)</w:t>
            </w:r>
            <w:r>
              <w:rPr>
                <w:vertAlign w:val="superscript"/>
              </w:rPr>
              <w:t> </w:t>
            </w:r>
            <w:hyperlink r:id="rId32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25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7Х.2.1. Протяженность участка или части линейного объекта (м)</w:t>
            </w:r>
            <w:r>
              <w:rPr>
                <w:vertAlign w:val="superscript"/>
              </w:rPr>
              <w:t> </w:t>
            </w:r>
            <w:hyperlink r:id="rId33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26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7.Х.3. Категория (класс):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7.Х.4. Мощность (пропускная способность, грузооборот, интенсивность движения):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7.Х.6. Иные показатели</w:t>
            </w:r>
            <w:r>
              <w:rPr>
                <w:vertAlign w:val="superscript"/>
              </w:rPr>
              <w:t> </w:t>
            </w:r>
            <w:hyperlink r:id="rId34">
              <w:r>
                <w:rPr>
                  <w:rStyle w:val="ListLabel335"/>
                  <w:color w:val="000080"/>
                  <w:u w:val="single"/>
                  <w:vertAlign w:val="superscript"/>
                </w:rPr>
                <w:t>27</w:t>
              </w:r>
            </w:hyperlink>
            <w:r>
              <w:rPr/>
              <w:t>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7.Х.7. Дата подготовки технического плана: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53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hanging="0" w:left="0" w:right="0"/>
              <w:rPr/>
            </w:pPr>
            <w:r>
              <w:rPr/>
              <w:t>7.Х.8. 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470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</w:tbl>
    <w:p>
      <w:pPr>
        <w:pStyle w:val="Style23"/>
        <w:rPr/>
      </w:pPr>
      <w:r>
        <w:rPr/>
      </w:r>
    </w:p>
    <w:tbl>
      <w:tblPr>
        <w:tblW w:w="10091" w:type="dxa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4479"/>
        <w:gridCol w:w="1984"/>
        <w:gridCol w:w="3628"/>
      </w:tblGrid>
      <w:tr>
        <w:trPr/>
        <w:tc>
          <w:tcPr>
            <w:tcW w:w="4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  <w:tc>
          <w:tcPr>
            <w:tcW w:w="36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rPr/>
            </w:pPr>
            <w:r>
              <w:rPr/>
            </w:r>
          </w:p>
        </w:tc>
      </w:tr>
      <w:tr>
        <w:trPr/>
        <w:tc>
          <w:tcPr>
            <w:tcW w:w="44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ind w:hanging="0" w:left="0" w:right="0"/>
              <w:jc w:val="center"/>
              <w:rPr/>
            </w:pPr>
            <w:r>
              <w:rPr/>
              <w:t>должность уполномоченного лица органа (организации), осуществляющего выдачу разрешения на ввод объекта в эксплуатацию</w:t>
            </w:r>
          </w:p>
        </w:tc>
        <w:tc>
          <w:tcPr>
            <w:tcW w:w="1984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ind w:hanging="0" w:left="0" w:right="0"/>
              <w:jc w:val="center"/>
              <w:rPr/>
            </w:pPr>
            <w:r>
              <w:rPr/>
              <w:t>подпись</w:t>
            </w:r>
          </w:p>
        </w:tc>
        <w:tc>
          <w:tcPr>
            <w:tcW w:w="3628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ind w:hanging="0" w:left="0" w:right="0"/>
              <w:jc w:val="center"/>
              <w:rPr/>
            </w:pPr>
            <w:r>
              <w:rPr/>
              <w:t>инициалы, фамилия</w:t>
            </w:r>
          </w:p>
        </w:tc>
      </w:tr>
    </w:tbl>
    <w:p>
      <w:pPr>
        <w:pStyle w:val="Style23"/>
        <w:rPr/>
      </w:pPr>
      <w:r>
        <w:rPr/>
      </w:r>
    </w:p>
    <w:p>
      <w:pPr>
        <w:pStyle w:val="OEM"/>
        <w:rPr>
          <w:rFonts w:ascii="Courier New" w:hAnsi="Courier New"/>
          <w:sz w:val="22"/>
        </w:rPr>
      </w:pPr>
      <w:r>
        <w:rPr>
          <w:sz w:val="22"/>
        </w:rPr>
        <w:t>──────────────────────────────</w:t>
      </w:r>
    </w:p>
    <w:p>
      <w:pPr>
        <w:pStyle w:val="FootnoteText"/>
        <w:rPr/>
      </w:pPr>
      <w:r>
        <w:rPr>
          <w:vertAlign w:val="superscript"/>
        </w:rPr>
        <w:t>1</w:t>
      </w:r>
      <w:r>
        <w:rPr/>
        <w:t xml:space="preserve"> Полностью незаполненные (пустые) разделы формы разрешения на ввод объекта в эксплуатацию не включаются в состав выдаваемого заявителю разрешения на ввод объекта в эксплуатацию. После заполнения формы разрешения на ввод объекта в эксплуатацию и его комплектования в правом верхнем углу каждой страницы разрешения на ввод объекта в эксплуатацию проставляется поле "стр._", в котором указывается соответствующий порядковый номер страницы, начиная с 1.</w:t>
      </w:r>
    </w:p>
    <w:p>
      <w:pPr>
        <w:pStyle w:val="FootnoteText"/>
        <w:rPr/>
      </w:pPr>
      <w:r>
        <w:rPr>
          <w:vertAlign w:val="superscript"/>
        </w:rPr>
        <w:t>2</w:t>
      </w:r>
      <w:r>
        <w:rPr/>
        <w:t xml:space="preserve"> Указывается дата выдачи разрешения на ввод объекта в эксплуатацию. Дата указывается арабскими цифрами в формате ДД.ММ.ГГГГ, в котором буквы обозначают следующее: ДД - число, ММ - месяц, ГГГГ - год. При этом день и (или) месяц с первого по девятый указываются двумя цифрами.</w:t>
      </w:r>
    </w:p>
    <w:p>
      <w:pPr>
        <w:pStyle w:val="FootnoteText"/>
        <w:rPr/>
      </w:pPr>
      <w:r>
        <w:rPr>
          <w:vertAlign w:val="superscript"/>
        </w:rPr>
        <w:t>3</w:t>
      </w:r>
      <w:r>
        <w:rPr/>
        <w:t xml:space="preserve"> Указывается номер разрешения на ввод объекта в эксплуатацию, присвоенный органом (организацией), осуществляющим выдачу разрешения на ввод объекта в эксплуатацию, который имеет структуру А-Б-В-Г, где:</w:t>
      </w:r>
    </w:p>
    <w:p>
      <w:pPr>
        <w:pStyle w:val="FootnoteText"/>
        <w:rPr/>
      </w:pPr>
      <w:r>
        <w:rPr/>
        <w:t>А - номер кадастрового округа, на территории которого расположен построенный (реконструированный) объект капитального строительства (двухзначный). В случае, если объект расположен на территории двух и более кадастровых округов, указывается номер "0";</w:t>
      </w:r>
    </w:p>
    <w:p>
      <w:pPr>
        <w:pStyle w:val="FootnoteText"/>
        <w:rPr/>
      </w:pPr>
      <w:r>
        <w:rPr/>
        <w:t>Б - номер кадастрового района, на территории которого расположен построенный (реконструированный) объект капитального строительства. В случае, если объект расположен на территории двух и более кадастровых районов, указывается номер "0";</w:t>
      </w:r>
    </w:p>
    <w:p>
      <w:pPr>
        <w:pStyle w:val="FootnoteText"/>
        <w:rPr/>
      </w:pPr>
      <w:r>
        <w:rPr/>
        <w:t>В - порядковый номер разрешения на ввод объекта в эксплуатацию, присвоенный органом (организацией), осуществляющим выдачу разрешения на ввод объекта в эксплуатацию;</w:t>
      </w:r>
    </w:p>
    <w:p>
      <w:pPr>
        <w:pStyle w:val="FootnoteText"/>
        <w:rPr/>
      </w:pPr>
      <w:r>
        <w:rPr/>
        <w:t>Г - год выдачи разрешения на ввод объекта в эксплуатацию (полностью).</w:t>
      </w:r>
    </w:p>
    <w:p>
      <w:pPr>
        <w:pStyle w:val="FootnoteText"/>
        <w:rPr/>
      </w:pPr>
      <w:r>
        <w:rPr/>
        <w:t>Составные части номера отделяются друг от друга знаком "-". Цифровые индексы обозначаются арабскими цифрами.</w:t>
      </w:r>
    </w:p>
    <w:p>
      <w:pPr>
        <w:pStyle w:val="FootnoteText"/>
        <w:rPr/>
      </w:pPr>
      <w:r>
        <w:rPr/>
        <w:t>Для федеральных органов исполнительной власти, Государственной корпорации по атомной энергии "Росатом", Государственной корпорации по космической деятельности "Роскосмос" в конце номера указывается условное обозначение такого органа, организации, определяемое ими самостоятельно (при наличии).</w:t>
      </w:r>
    </w:p>
    <w:p>
      <w:pPr>
        <w:pStyle w:val="FootnoteText"/>
        <w:rPr/>
      </w:pPr>
      <w:r>
        <w:rPr>
          <w:vertAlign w:val="superscript"/>
        </w:rPr>
        <w:t>4</w:t>
      </w:r>
      <w:r>
        <w:rPr/>
        <w:t xml:space="preserve"> Указывается соответственно наименование осуществляющего выдачу разрешения на ввод объекта в эксплуатацию федерального органа исполнительной власти или органа исполнительной власти субъекта Российской Федерации, или органа местного самоуправления, или наименование осуществляющей выдачу разрешения на ввод объекта в эксплуатацию организации: Государственная корпорация по атомной энергии "Росатом" или Государственная корпорация по космической деятельности "Роскосмос".</w:t>
      </w:r>
    </w:p>
    <w:p>
      <w:pPr>
        <w:pStyle w:val="FootnoteText"/>
        <w:rPr/>
      </w:pPr>
      <w:r>
        <w:rPr>
          <w:vertAlign w:val="superscript"/>
        </w:rPr>
        <w:t>5</w:t>
      </w:r>
      <w:r>
        <w:rPr/>
        <w:t xml:space="preserve"> Указывается дата последнего принятия уполномоченным органом (организацией) решения о внесении изменений в разрешение на ввод объекта в эксплуатацию или исправлений в разрешение на ввод объекта в эксплуатацию в случае внесения изменений в разрешение на ввод объекта в эксплуатацию, исправления допущенных опечаток и (или) ошибок в разрешении на ввод объекта в эксплуатацию. Дата разрешения на ввод объекта капитального строительства не изменяется.</w:t>
      </w:r>
    </w:p>
    <w:p>
      <w:pPr>
        <w:pStyle w:val="FootnoteText"/>
        <w:rPr/>
      </w:pPr>
      <w:r>
        <w:rPr>
          <w:vertAlign w:val="superscript"/>
        </w:rPr>
        <w:t>6</w:t>
      </w:r>
      <w:r>
        <w:rPr/>
        <w:t xml:space="preserve"> Отчество указывается при наличии.</w:t>
      </w:r>
    </w:p>
    <w:p>
      <w:pPr>
        <w:pStyle w:val="FootnoteText"/>
        <w:rPr/>
      </w:pPr>
      <w:r>
        <w:rPr>
          <w:vertAlign w:val="superscript"/>
        </w:rPr>
        <w:t>7</w:t>
      </w:r>
      <w:r>
        <w:rPr/>
        <w:t xml:space="preserve"> Заполняется в случае, если застройщик является индивидуальным предпринимателем.</w:t>
      </w:r>
    </w:p>
    <w:p>
      <w:pPr>
        <w:pStyle w:val="FootnoteText"/>
        <w:rPr/>
      </w:pPr>
      <w:r>
        <w:rPr>
          <w:vertAlign w:val="superscript"/>
        </w:rPr>
        <w:t>8</w:t>
      </w:r>
      <w:r>
        <w:rPr/>
        <w:t xml:space="preserve"> Указывается полное наименование организации в соответствии со </w:t>
      </w:r>
      <w:r>
        <w:rPr>
          <w:rStyle w:val="Hyperlink1"/>
        </w:rPr>
        <w:t>статьей 54</w:t>
      </w:r>
      <w:r>
        <w:rPr/>
        <w:t xml:space="preserve"> Гражданского кодекса Российской Федерации (Собрание законодательства Российской Федерации, 1994, N 32, ст. 3301; 2015, N 27, ст. 4000), в случае если застройщиком является юридическое лицо.</w:t>
      </w:r>
    </w:p>
    <w:p>
      <w:pPr>
        <w:pStyle w:val="FootnoteText"/>
        <w:rPr/>
      </w:pPr>
      <w:r>
        <w:rPr>
          <w:vertAlign w:val="superscript"/>
        </w:rPr>
        <w:t>9</w:t>
      </w:r>
      <w:r>
        <w:rPr/>
        <w:t xml:space="preserve"> Указывается в соответствии с разрешением на строительство, на основании которого осуществлялось строительство (реконструкция) объекта капитального строительства.</w:t>
      </w:r>
    </w:p>
    <w:p>
      <w:pPr>
        <w:pStyle w:val="FootnoteText"/>
        <w:rPr/>
      </w:pPr>
      <w:r>
        <w:rPr>
          <w:vertAlign w:val="superscript"/>
        </w:rPr>
        <w:t>10</w:t>
      </w:r>
      <w:r>
        <w:rPr/>
        <w:t xml:space="preserve"> В </w:t>
      </w:r>
      <w:hyperlink r:id="rId35">
        <w:r>
          <w:rPr>
            <w:rStyle w:val="ListLabel337"/>
            <w:color w:val="000080"/>
            <w:u w:val="single"/>
          </w:rPr>
          <w:t>строках 3.3.1. - 3.3.7</w:t>
        </w:r>
      </w:hyperlink>
      <w:r>
        <w:rPr/>
        <w:t>.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наименования(-ий) субъекта(-ов) Российской Федерации и муниципального(-ых) образования(-ий), на территории которого(-ых) осуществлялось строительство такого линейного объекта. В случае реконструкции линейных объектов указывается местоположение в виде наименования(-ий) субъекта(-ов) Российской Федерации и муниципального(-ых) образования(-ий), на территории которого(-ых) осуществлялась реконструкция такого линейного объекта.</w:t>
      </w:r>
    </w:p>
    <w:p>
      <w:pPr>
        <w:pStyle w:val="FootnoteText"/>
        <w:rPr/>
      </w:pPr>
      <w:r>
        <w:rPr/>
        <w:t xml:space="preserve">Сведения об адресе либо местоположении объекта капитального строительства заполняются в соответствии с </w:t>
      </w:r>
      <w:r>
        <w:rPr>
          <w:rStyle w:val="Hyperlink1"/>
        </w:rPr>
        <w:t>Перечнем</w:t>
      </w:r>
      <w:r>
        <w:rPr/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r>
        <w:rPr>
          <w:rStyle w:val="Hyperlink"/>
        </w:rPr>
        <w:t>Правилами</w:t>
      </w:r>
      <w:r>
        <w:rPr/>
        <w:t xml:space="preserve"> сокращенного наименования адресообразующих элементов, утвержденными </w:t>
      </w:r>
      <w:r>
        <w:rPr>
          <w:rStyle w:val="Hyperlink"/>
        </w:rPr>
        <w:t>приказом</w:t>
      </w:r>
      <w:r>
        <w:rPr/>
        <w:t xml:space="preserve"> Министерства финансов Российской Федерации от 5 ноября 2015 г. N 171н (зарегистрирован Министерством юстиции Российской Федерации 10 декабря 2015 г., регистрационный N 40069), с изменениями, внесенными приказами Министерства финансов Российской Федерации </w:t>
      </w:r>
      <w:r>
        <w:rPr>
          <w:rStyle w:val="Hyperlink"/>
        </w:rPr>
        <w:t>от 16 октября 2018 г. N 207н</w:t>
      </w:r>
      <w:r>
        <w:rPr/>
        <w:t xml:space="preserve"> (зарегистрирован Министерством юстиции Российской Федерации 8 ноября 2018 г., регистрационный N 52649), </w:t>
      </w:r>
      <w:r>
        <w:rPr>
          <w:rStyle w:val="Hyperlink"/>
        </w:rPr>
        <w:t>от 17 июня 2019 г. N 97н</w:t>
      </w:r>
      <w:r>
        <w:rPr/>
        <w:t xml:space="preserve"> (зарегистрирован Министерством юстиции Российской Федерации 10 июля 2019 г., регистрационный N 55197), </w:t>
      </w:r>
      <w:r>
        <w:rPr>
          <w:rStyle w:val="Hyperlink"/>
        </w:rPr>
        <w:t>от 10 марта 2020 г. N 38н</w:t>
      </w:r>
      <w:r>
        <w:rPr/>
        <w:t xml:space="preserve"> (зарегистрирован Министерством юстиции Российской Федерации 16 апреля 2020 г., регистрационный N 58121), </w:t>
      </w:r>
      <w:r>
        <w:rPr>
          <w:rStyle w:val="Hyperlink"/>
        </w:rPr>
        <w:t>от 23 декабря 2021 г. N 220н</w:t>
      </w:r>
      <w:r>
        <w:rPr/>
        <w:t xml:space="preserve"> (зарегистрирован Министерством юстиции Российской Федерации 3 февраля 2022 г., регистрационный N 67143).</w:t>
      </w:r>
    </w:p>
    <w:p>
      <w:pPr>
        <w:pStyle w:val="FootnoteText"/>
        <w:rPr/>
      </w:pPr>
      <w:r>
        <w:rPr>
          <w:vertAlign w:val="superscript"/>
        </w:rPr>
        <w:t>11</w:t>
      </w:r>
      <w:r>
        <w:rPr/>
        <w:t xml:space="preserve"> Заполняется в отношении всех объектов капитального строительства, предусмотренных проектной документацией, в том числе входящих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 Заполнение не является обязательным при выдаче разрешения на ввод объекта в эксплуатацию в отношении линейного объекта.</w:t>
      </w:r>
    </w:p>
    <w:p>
      <w:pPr>
        <w:pStyle w:val="FootnoteText"/>
        <w:rPr/>
      </w:pPr>
      <w:r>
        <w:rPr>
          <w:vertAlign w:val="superscript"/>
        </w:rPr>
        <w:t>12</w:t>
      </w:r>
      <w:r>
        <w:rPr/>
        <w:t xml:space="preserve"> Строки </w:t>
      </w:r>
      <w:hyperlink r:id="rId36">
        <w:r>
          <w:rPr>
            <w:rStyle w:val="ListLabel337"/>
            <w:color w:val="000080"/>
            <w:u w:val="single"/>
          </w:rPr>
          <w:t>раздела 6</w:t>
        </w:r>
      </w:hyperlink>
      <w:r>
        <w:rPr/>
        <w:t xml:space="preserve"> формы разрешения на ввод объекта в эксплуатацию заполняются в отношении каждого вводимого в эксплуатацию объекта капитального строительства (за исключением линейных объектов),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>
      <w:pPr>
        <w:pStyle w:val="FootnoteText"/>
        <w:rPr/>
      </w:pPr>
      <w:r>
        <w:rPr>
          <w:vertAlign w:val="superscript"/>
        </w:rPr>
        <w:t>13</w:t>
      </w:r>
      <w:r>
        <w:rPr/>
        <w:t xml:space="preserve"> При заполнении </w:t>
      </w:r>
      <w:hyperlink r:id="rId37">
        <w:r>
          <w:rPr>
            <w:rStyle w:val="ListLabel337"/>
            <w:color w:val="000080"/>
            <w:u w:val="single"/>
          </w:rPr>
          <w:t>строк 6.Х. - 6.Х.20</w:t>
        </w:r>
      </w:hyperlink>
      <w:r>
        <w:rPr/>
        <w:t>. в номерах строк вместо знака "X" органом (организацией), осуществляющим выдачу разрешения на ввод объекта в эксплуатацию, в отношении каждого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объекта капитального строительства, к которому относятся значения этих строк. Если проектной документацией предусмотрено строительство, реконструкция одного объекта, то значение в строке 6.Х. не заполняется.</w:t>
      </w:r>
    </w:p>
    <w:p>
      <w:pPr>
        <w:pStyle w:val="FootnoteText"/>
        <w:rPr/>
      </w:pPr>
      <w:r>
        <w:rPr>
          <w:vertAlign w:val="superscript"/>
        </w:rPr>
        <w:t>14</w:t>
      </w:r>
      <w:r>
        <w:rPr/>
        <w:t xml:space="preserve"> Указывается один из видов объектов капитального строительства: здание, строение, сооружение.</w:t>
      </w:r>
    </w:p>
    <w:p>
      <w:pPr>
        <w:pStyle w:val="FootnoteText"/>
        <w:rPr/>
      </w:pPr>
      <w:r>
        <w:rPr>
          <w:vertAlign w:val="superscript"/>
        </w:rPr>
        <w:t>15</w:t>
      </w:r>
      <w:r>
        <w:rPr/>
        <w:t xml:space="preserve"> Указывается назначение объекта из числа предусмотренных </w:t>
      </w:r>
      <w:r>
        <w:rPr>
          <w:rStyle w:val="Hyperlink1"/>
        </w:rPr>
        <w:t>пунктом 9 части 5 статьи 8</w:t>
      </w:r>
      <w:r>
        <w:rPr/>
        <w:t xml:space="preserve"> Федерального закона от 13 июля 2015 г. N 218-ФЗ "О государственной регистрации недвижимости" (Собрание законодательства Российской Федерации, 2015, N 29, ст. 4344; 2021, N 15, ст. 2446) на дату подготовки разрешения на ввод объекта в эксплуатацию.</w:t>
      </w:r>
    </w:p>
    <w:p>
      <w:pPr>
        <w:pStyle w:val="FootnoteText"/>
        <w:rPr/>
      </w:pPr>
      <w:r>
        <w:rPr>
          <w:vertAlign w:val="superscript"/>
        </w:rPr>
        <w:t>16</w:t>
      </w:r>
      <w:r>
        <w:rPr/>
        <w:t xml:space="preserve"> Указывается кадастровый номер реконструированного объекта капитального строительства. В случае выполнения работ по сохранению объекта культурного наследия, при которых затрагиваются конструктивные и другие характеристики надежности и безопасности такого объекта, указывается кадастровый номер учтенного в Едином государственном реестре недвижимости объекта культурного наследия.</w:t>
      </w:r>
    </w:p>
    <w:p>
      <w:pPr>
        <w:pStyle w:val="FootnoteText"/>
        <w:rPr/>
      </w:pPr>
      <w:r>
        <w:rPr>
          <w:vertAlign w:val="superscript"/>
        </w:rPr>
        <w:t>17</w:t>
      </w:r>
      <w:r>
        <w:rPr/>
        <w:t xml:space="preserve">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</w:t>
      </w:r>
      <w:hyperlink r:id="rId38">
        <w:r>
          <w:rPr>
            <w:rStyle w:val="ListLabel337"/>
            <w:color w:val="000080"/>
            <w:u w:val="single"/>
          </w:rPr>
          <w:t>строке 6.Х.4</w:t>
        </w:r>
      </w:hyperlink>
      <w:r>
        <w:rPr/>
        <w:t>.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вводимого в эксплуатацию.</w:t>
      </w:r>
    </w:p>
    <w:p>
      <w:pPr>
        <w:pStyle w:val="FootnoteText"/>
        <w:rPr/>
      </w:pPr>
      <w:r>
        <w:rPr>
          <w:vertAlign w:val="superscript"/>
        </w:rPr>
        <w:t>18</w:t>
      </w:r>
      <w:r>
        <w:rPr/>
        <w:t xml:space="preserve">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В </w:t>
      </w:r>
      <w:hyperlink r:id="rId39">
        <w:r>
          <w:rPr>
            <w:rStyle w:val="ListLabel337"/>
            <w:color w:val="000080"/>
            <w:u w:val="single"/>
          </w:rPr>
          <w:t xml:space="preserve">строке 6.Х.4.1. </w:t>
        </w:r>
      </w:hyperlink>
      <w:r>
        <w:rPr/>
        <w:t>указывается площадь застройки этапа, вводимого в эксплуатацию.</w:t>
      </w:r>
    </w:p>
    <w:p>
      <w:pPr>
        <w:pStyle w:val="FootnoteText"/>
        <w:rPr/>
      </w:pPr>
      <w:r>
        <w:rPr>
          <w:vertAlign w:val="superscript"/>
        </w:rPr>
        <w:t>19</w:t>
      </w:r>
      <w:r>
        <w:rPr/>
        <w:t xml:space="preserve">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в </w:t>
      </w:r>
      <w:hyperlink r:id="rId40">
        <w:r>
          <w:rPr>
            <w:rStyle w:val="ListLabel337"/>
            <w:color w:val="000080"/>
            <w:u w:val="single"/>
          </w:rPr>
          <w:t>строке 6.Х.5.</w:t>
        </w:r>
      </w:hyperlink>
      <w:r>
        <w:rPr/>
        <w:t xml:space="preserve">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вводимого в эксплуатацию.</w:t>
      </w:r>
    </w:p>
    <w:p>
      <w:pPr>
        <w:pStyle w:val="FootnoteText"/>
        <w:rPr/>
      </w:pPr>
      <w:r>
        <w:rPr>
          <w:vertAlign w:val="superscript"/>
        </w:rPr>
        <w:t>20</w:t>
      </w:r>
      <w:r>
        <w:rPr/>
        <w:t xml:space="preserve">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этап). В </w:t>
      </w:r>
      <w:hyperlink r:id="rId41">
        <w:r>
          <w:rPr>
            <w:rStyle w:val="ListLabel337"/>
            <w:color w:val="000080"/>
            <w:u w:val="single"/>
          </w:rPr>
          <w:t>строке 6.Х.5.1.</w:t>
        </w:r>
      </w:hyperlink>
      <w:r>
        <w:rPr/>
        <w:t xml:space="preserve"> указывается площадь этапа, вводимого в эксплуатацию.</w:t>
      </w:r>
    </w:p>
    <w:p>
      <w:pPr>
        <w:pStyle w:val="FootnoteText"/>
        <w:rPr/>
      </w:pPr>
      <w:r>
        <w:rPr>
          <w:vertAlign w:val="superscript"/>
        </w:rPr>
        <w:t>21</w:t>
      </w:r>
      <w:r>
        <w:rPr/>
        <w:t xml:space="preserve"> Указывается в отношении объектов капитального строительства, для которых присвоение класса энергетической эффективности, определяемого в соответствии с законодательством об энергосбережении и о повышении энергетической эффективности, является обязательным.</w:t>
      </w:r>
    </w:p>
    <w:p>
      <w:pPr>
        <w:pStyle w:val="FootnoteText"/>
        <w:rPr/>
      </w:pPr>
      <w:r>
        <w:rPr>
          <w:vertAlign w:val="superscript"/>
        </w:rPr>
        <w:t>22</w:t>
      </w:r>
      <w:r>
        <w:rPr/>
        <w:t xml:space="preserve"> При наличии указываются основные характеристики объекта капитального строительства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объекта капитального строительства, иные характеристики также указываются в отношении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объекта.</w:t>
      </w:r>
    </w:p>
    <w:p>
      <w:pPr>
        <w:pStyle w:val="FootnoteText"/>
        <w:rPr/>
      </w:pPr>
      <w:r>
        <w:rPr>
          <w:vertAlign w:val="superscript"/>
        </w:rPr>
        <w:t>23</w:t>
      </w:r>
      <w:r>
        <w:rPr/>
        <w:t xml:space="preserve"> Строки </w:t>
      </w:r>
      <w:hyperlink r:id="rId42">
        <w:r>
          <w:rPr>
            <w:rStyle w:val="ListLabel337"/>
            <w:color w:val="000080"/>
            <w:u w:val="single"/>
          </w:rPr>
          <w:t>раздела 7</w:t>
        </w:r>
      </w:hyperlink>
      <w:r>
        <w:rPr/>
        <w:t xml:space="preserve"> формы разрешения на ввод объекта в эксплуатацию заполняются в отношении каждого вводимого в эксплуатацию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строительства).</w:t>
      </w:r>
    </w:p>
    <w:p>
      <w:pPr>
        <w:pStyle w:val="FootnoteText"/>
        <w:rPr/>
      </w:pPr>
      <w:r>
        <w:rPr>
          <w:vertAlign w:val="superscript"/>
        </w:rPr>
        <w:t>24</w:t>
      </w:r>
      <w:r>
        <w:rPr/>
        <w:t xml:space="preserve"> При заполнении </w:t>
      </w:r>
      <w:hyperlink r:id="rId43">
        <w:r>
          <w:rPr>
            <w:rStyle w:val="ListLabel337"/>
            <w:color w:val="000080"/>
            <w:u w:val="single"/>
          </w:rPr>
          <w:t>строк 7.Х. - 7.Х.8.</w:t>
        </w:r>
      </w:hyperlink>
      <w:r>
        <w:rPr/>
        <w:t xml:space="preserve"> в номерах строк вместо знака "X" органом (организацией), осуществляющим выдачу разрешения на ввод объекта в эксплуатацию, в отношении каждого линейного объекта, предусмотренного проектной документацией, в том числе входящего в состав предприятия как имущественного комплекса, единого недвижимого комплекса или в состав сложного объекта (объекта, состоящего из нескольких объектов капитального строительства), посредством сквозной нумерации, начиная с 1, указывается порядковый номер того линейного объекта, к которому относятся значения этих строк. Если проектной документацией предусмотрено строительство, реконструкция одного объекта, то значение в строке 7.Х. не заполняется.</w:t>
      </w:r>
    </w:p>
    <w:p>
      <w:pPr>
        <w:pStyle w:val="FootnoteText"/>
        <w:rPr/>
      </w:pPr>
      <w:r>
        <w:rPr>
          <w:vertAlign w:val="superscript"/>
        </w:rPr>
        <w:t>25</w:t>
      </w:r>
      <w:r>
        <w:rPr/>
        <w:t xml:space="preserve">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в </w:t>
      </w:r>
      <w:hyperlink r:id="rId44">
        <w:r>
          <w:rPr>
            <w:rStyle w:val="ListLabel337"/>
            <w:color w:val="000080"/>
            <w:u w:val="single"/>
          </w:rPr>
          <w:t>строке 7.Х.2.</w:t>
        </w:r>
      </w:hyperlink>
      <w:r>
        <w:rPr/>
        <w:t xml:space="preserve"> указывается протяженность линейного объекта, соответствующая всем ранее введенным в эксплуатацию этапам такого линейного объекта и этапа, вводимого в эксплуатацию.</w:t>
      </w:r>
    </w:p>
    <w:p>
      <w:pPr>
        <w:pStyle w:val="FootnoteText"/>
        <w:rPr/>
      </w:pPr>
      <w:r>
        <w:rPr/>
        <w:t xml:space="preserve">В случае, если подано заявление о выдаче разрешения на ввод объекта в эксплуатацию линейного объекта, в отношении которого осуществлена реконструкция, предусматривающая изменение участка (участков) или части (частей) такого линейного объекта, влекущая изменение протяженности линейного объекта, в </w:t>
      </w:r>
      <w:hyperlink r:id="rId45">
        <w:r>
          <w:rPr>
            <w:rStyle w:val="ListLabel337"/>
            <w:color w:val="000080"/>
            <w:u w:val="single"/>
          </w:rPr>
          <w:t>строке 7.Х.2.</w:t>
        </w:r>
      </w:hyperlink>
      <w:r>
        <w:rPr/>
        <w:t xml:space="preserve"> указывается протяженность всех ранее введенных и вводимых в эксплуатацию участков или частей линейного объекта.</w:t>
      </w:r>
    </w:p>
    <w:p>
      <w:pPr>
        <w:pStyle w:val="FootnoteText"/>
        <w:rPr/>
      </w:pPr>
      <w:r>
        <w:rPr>
          <w:vertAlign w:val="superscript"/>
        </w:rPr>
        <w:t>26</w:t>
      </w:r>
      <w:r>
        <w:rPr/>
        <w:t xml:space="preserve"> Заполняется в случае, если подано заявление о выдаче разрешения на ввод объекта в эксплуатацию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случае, если подано заявление о выдаче разрешения на ввод объекта в эксплуатацию линейного объекта, в отношении которого осуществлена реконструкция, предусматривающая изменение участка (участков) или части (частей) такого линейного объекта, влекущая изменение протяженности линейного объекта.</w:t>
      </w:r>
    </w:p>
    <w:p>
      <w:pPr>
        <w:pStyle w:val="FootnoteText"/>
        <w:rPr/>
      </w:pPr>
      <w:r>
        <w:rPr/>
        <w:t xml:space="preserve">В данных случаях, в </w:t>
      </w:r>
      <w:hyperlink r:id="rId46">
        <w:r>
          <w:rPr>
            <w:rStyle w:val="ListLabel337"/>
            <w:color w:val="000080"/>
            <w:u w:val="single"/>
          </w:rPr>
          <w:t>строке 7.Х.2.1.</w:t>
        </w:r>
      </w:hyperlink>
      <w:r>
        <w:rPr/>
        <w:t xml:space="preserve"> указывается протяженность этапа, вводимого в эксплуатацию, либо указывается протяженность соответствующего участка или части линейного объекта.</w:t>
      </w:r>
    </w:p>
    <w:p>
      <w:pPr>
        <w:sectPr>
          <w:headerReference w:type="default" r:id="rId47"/>
          <w:headerReference w:type="first" r:id="rId48"/>
          <w:footerReference w:type="default" r:id="rId49"/>
          <w:footnotePr>
            <w:numFmt w:val="decimal"/>
          </w:footnotePr>
          <w:type w:val="nextPage"/>
          <w:pgSz w:w="11906" w:h="16838"/>
          <w:pgMar w:left="794" w:right="794" w:gutter="0" w:header="794" w:top="1308" w:footer="794" w:bottom="1077"/>
          <w:pgNumType w:fmt="decimal"/>
          <w:formProt w:val="false"/>
          <w:textDirection w:val="lrTb"/>
          <w:docGrid w:type="default" w:linePitch="600" w:charSpace="32768"/>
        </w:sectPr>
        <w:pStyle w:val="FootnoteText"/>
        <w:rPr/>
      </w:pPr>
      <w:r>
        <w:rPr>
          <w:vertAlign w:val="superscript"/>
        </w:rPr>
        <w:t>27</w:t>
      </w:r>
      <w:r>
        <w:rPr/>
        <w:t xml:space="preserve"> При наличии указываются основные характеристики линейного объекта в объеме, необходимом для осуществления государственного кадастрового учета такого объекта (объем, глубина, глубина залегания), также могут быть указаны иные, не указанные выше, характеристики линейного объекта.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Times New Roman" w:cs="Times New Roman"/>
          <w:sz w:val="28"/>
          <w:szCs w:val="22"/>
          <w:lang w:val="ru-RU" w:eastAsia="en-US" w:bidi="ar-SA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 №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sz w:val="28"/>
          <w:szCs w:val="22"/>
          <w:lang w:val="ru-RU" w:eastAsia="en-US" w:bidi="ar-SA"/>
        </w:rPr>
        <w:t xml:space="preserve"> </w:t>
      </w:r>
    </w:p>
    <w:tbl>
      <w:tblPr>
        <w:tblStyle w:val="NZKhr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81"/>
        <w:gridCol w:w="683"/>
        <w:gridCol w:w="1245"/>
        <w:gridCol w:w="3846"/>
      </w:tblGrid>
      <w:tr>
        <w:trPr/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16"/>
                <w:szCs w:val="16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16"/>
                <w:szCs w:val="16"/>
                <w:lang w:val="ru-RU" w:eastAsia="en-US" w:bidi="ar-SA"/>
              </w:rPr>
              <w:t>Штамп уполномоченного органа местного самоуправления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46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center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16"/>
                <w:szCs w:val="16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16"/>
                <w:szCs w:val="16"/>
                <w:lang w:val="ru-RU" w:eastAsia="en-US" w:bidi="ar-SA"/>
              </w:rPr>
              <w:t>(полное наименование организации-застройщика</w:t>
            </w:r>
          </w:p>
        </w:tc>
      </w:tr>
      <w:tr>
        <w:trPr/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46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center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16"/>
                <w:szCs w:val="16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16"/>
                <w:szCs w:val="16"/>
                <w:lang w:val="ru-RU" w:eastAsia="en-US" w:bidi="ar-SA"/>
              </w:rPr>
              <w:t>или Ф.И.О. застройщика – физического лица)</w:t>
            </w:r>
          </w:p>
        </w:tc>
      </w:tr>
      <w:tr>
        <w:trPr/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46" w:type="dxa"/>
            <w:tcBorders>
              <w:left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center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16"/>
                <w:szCs w:val="16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16"/>
                <w:szCs w:val="16"/>
                <w:lang w:val="ru-RU" w:eastAsia="en-US" w:bidi="ar-SA"/>
              </w:rPr>
              <w:t>почтовый адрес</w:t>
            </w:r>
          </w:p>
        </w:tc>
      </w:tr>
      <w:tr>
        <w:trPr/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46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center"/>
              <w:outlineLvl w:val="0"/>
              <w:rPr>
                <w:rFonts w:ascii="Calibri" w:hAnsi="Calibri" w:cs="Times New Roman"/>
                <w:bCs/>
                <w:i/>
                <w:i/>
                <w:iCs/>
                <w:spacing w:val="-3"/>
                <w:sz w:val="16"/>
                <w:szCs w:val="16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spacing w:val="-3"/>
                <w:kern w:val="0"/>
                <w:sz w:val="16"/>
                <w:szCs w:val="16"/>
                <w:lang w:val="ru-RU" w:eastAsia="en-US" w:bidi="ar-SA"/>
              </w:rPr>
              <w:t>или адрес проживания (для физического лица)</w:t>
            </w:r>
          </w:p>
        </w:tc>
      </w:tr>
      <w:tr>
        <w:trPr/>
        <w:tc>
          <w:tcPr>
            <w:tcW w:w="4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color w:val="00B0F0"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color w:val="00B0F0"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color w:val="00B0F0"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color w:val="00B0F0"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uppressAutoHyphens w:val="true"/>
              <w:spacing w:before="0" w:after="60"/>
              <w:jc w:val="left"/>
              <w:outlineLvl w:val="0"/>
              <w:rPr>
                <w:rFonts w:ascii="Calibri" w:hAnsi="Calibri" w:cs="Times New Roman"/>
                <w:bCs/>
                <w:i/>
                <w:i/>
                <w:iCs/>
                <w:color w:val="00B0F0"/>
                <w:spacing w:val="-3"/>
                <w:sz w:val="28"/>
                <w:szCs w:val="28"/>
                <w:lang w:val="ru-RU" w:eastAsia="en-US" w:bidi="ar-SA"/>
              </w:rPr>
            </w:pPr>
            <w:r>
              <w:rPr>
                <w:rFonts w:cs="Times New Roman" w:ascii="Calibri" w:hAnsi="Calibri"/>
                <w:bCs/>
                <w:i/>
                <w:iCs/>
                <w:color w:val="00B0F0"/>
                <w:spacing w:val="-3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widowControl w:val="false"/>
        <w:suppressAutoHyphens w:val="true"/>
        <w:spacing w:lineRule="auto" w:line="276" w:before="0" w:after="20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suppressAutoHyphens w:val="true"/>
        <w:spacing w:lineRule="auto" w:line="240" w:before="240" w:after="6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ОТКАЗ      </w:t>
      </w:r>
    </w:p>
    <w:p>
      <w:pPr>
        <w:pStyle w:val="Normal"/>
        <w:keepNext w:val="true"/>
        <w:widowControl w:val="fals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в выдаче разрешения на ввод объекта в эксплуатацию</w:t>
      </w:r>
    </w:p>
    <w:p>
      <w:pPr>
        <w:pStyle w:val="Normal"/>
        <w:keepNext w:val="true"/>
        <w:widowControl w:val="false"/>
        <w:numPr>
          <w:ilvl w:val="0"/>
          <w:numId w:val="0"/>
        </w:numPr>
        <w:pBdr>
          <w:top w:val="single" w:sz="4" w:space="1" w:color="000000"/>
        </w:pBdr>
        <w:suppressAutoHyphens w:val="true"/>
        <w:spacing w:lineRule="auto" w:line="240" w:before="240" w:after="60"/>
        <w:jc w:val="center"/>
        <w:outlineLvl w:val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i/>
          <w:sz w:val="16"/>
          <w:szCs w:val="16"/>
          <w:lang w:eastAsia="ru-RU"/>
        </w:rPr>
        <w:t xml:space="preserve"> </w:t>
      </w:r>
      <w:r>
        <w:rPr>
          <w:rFonts w:eastAsia="Times New Roman" w:cs="Times New Roman"/>
          <w:i/>
          <w:sz w:val="16"/>
          <w:szCs w:val="16"/>
          <w:lang w:eastAsia="ru-RU"/>
        </w:rPr>
        <w:t>(наименование уполномоченного органа местного самоуправления, осуществляющего предоставление муниципальной услуги)</w:t>
      </w:r>
    </w:p>
    <w:p>
      <w:pPr>
        <w:pStyle w:val="Normal"/>
        <w:keepNext w:val="true"/>
        <w:widowControl w:val="false"/>
        <w:numPr>
          <w:ilvl w:val="0"/>
          <w:numId w:val="0"/>
        </w:numPr>
        <w:suppressAutoHyphens w:val="true"/>
        <w:spacing w:lineRule="auto" w:line="276" w:before="240" w:after="60"/>
        <w:outlineLvl w:val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уведомляет об отказе в выдаче разрешения на ввод объекта в эксплуатацию</w:t>
      </w:r>
    </w:p>
    <w:p>
      <w:pPr>
        <w:pStyle w:val="Normal"/>
        <w:keepNext w:val="true"/>
        <w:widowControl w:val="false"/>
        <w:numPr>
          <w:ilvl w:val="0"/>
          <w:numId w:val="0"/>
        </w:numPr>
        <w:pBdr>
          <w:top w:val="single" w:sz="4" w:space="1" w:color="000000"/>
        </w:pBdr>
        <w:tabs>
          <w:tab w:val="clear" w:pos="1134"/>
          <w:tab w:val="left" w:pos="4111" w:leader="none"/>
        </w:tabs>
        <w:suppressAutoHyphens w:val="true"/>
        <w:spacing w:lineRule="auto" w:line="276" w:before="240" w:after="60"/>
        <w:jc w:val="center"/>
        <w:outlineLvl w:val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(наименование объекта в соответствии с выданным разрешением на строительство)</w:t>
      </w:r>
    </w:p>
    <w:p>
      <w:pPr>
        <w:pStyle w:val="Normal"/>
        <w:keepNext w:val="true"/>
        <w:widowControl w:val="false"/>
        <w:numPr>
          <w:ilvl w:val="0"/>
          <w:numId w:val="0"/>
        </w:numPr>
        <w:suppressAutoHyphens w:val="true"/>
        <w:spacing w:lineRule="auto" w:line="276" w:before="240" w:after="60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 следующим основаниям___________________________________________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r>
        <w:rPr>
          <w:rFonts w:eastAsia="Times New Roman" w:cs="Times New Roman"/>
          <w:sz w:val="16"/>
          <w:szCs w:val="16"/>
          <w:lang w:eastAsia="ru-RU"/>
        </w:rPr>
        <w:t>(указывается причина отказа)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Данный отказ в выдаче разрешения на ввод объекта в эксплуатацию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pBdr>
          <w:top w:val="single" w:sz="4" w:space="1" w:color="000000"/>
        </w:pBdr>
        <w:tabs>
          <w:tab w:val="clear" w:pos="1134"/>
          <w:tab w:val="left" w:pos="4111" w:leader="none"/>
        </w:tabs>
        <w:suppressAutoHyphens w:val="true"/>
        <w:spacing w:lineRule="auto" w:line="276" w:before="240" w:after="60"/>
        <w:jc w:val="center"/>
        <w:outlineLvl w:val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(наименование объекта в соответствии с выданным разрешением на строительство)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может быть оспорен в судебном порядке.</w:t>
      </w:r>
    </w:p>
    <w:p>
      <w:pPr>
        <w:pStyle w:val="Normal"/>
        <w:widowControl w:val="false"/>
        <w:suppressAutoHyphens w:val="true"/>
        <w:spacing w:lineRule="auto" w:line="240" w:before="0" w:after="20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Данный отказ не является препятствием дня повторной подачи документов для выдачи разрешения на ввод объекта в эксплуатацию при условии устранения вышеуказанных причин.</w:t>
      </w:r>
    </w:p>
    <w:p>
      <w:pPr>
        <w:pStyle w:val="Normal"/>
        <w:widowControl w:val="false"/>
        <w:suppressAutoHyphens w:val="true"/>
        <w:spacing w:lineRule="auto" w:line="240" w:before="0" w:after="20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Приложение: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_________________________            ______________             _______________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(должность уполномоченного лица органа, (подпись)                                         (расшифровка подписи)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осуществляющего выдачу разрешения на строительство)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Получено: *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________________________          _____________________________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(заявитель или представитель) (подпись)                                         (расшифровка подписи)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</w:r>
    </w:p>
    <w:p>
      <w:pPr>
        <w:sectPr>
          <w:headerReference w:type="default" r:id="rId50"/>
          <w:headerReference w:type="first" r:id="rId51"/>
          <w:footerReference w:type="default" r:id="rId52"/>
          <w:footerReference w:type="first" r:id="rId53"/>
          <w:footnotePr>
            <w:numFmt w:val="decimal"/>
          </w:footnotePr>
          <w:type w:val="nextPage"/>
          <w:pgSz w:w="11906" w:h="16838"/>
          <w:pgMar w:left="1701" w:right="851" w:gutter="0" w:header="709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suppressAutoHyphens w:val="true"/>
        <w:spacing w:lineRule="auto" w:line="240" w:before="0" w:after="20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*заполняется при личном посещении</w:t>
      </w:r>
      <w:r>
        <w:br w:type="page"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hanging="0" w:left="6250"/>
        <w:jc w:val="left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sz w:val="28"/>
          <w:szCs w:val="22"/>
          <w:lang w:val="ru-RU" w:eastAsia="en-US" w:bidi="ar-SA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 № </w:t>
      </w:r>
    </w:p>
    <w:p>
      <w:pPr>
        <w:pStyle w:val="Normal"/>
        <w:widowControl w:val="false"/>
        <w:rPr>
          <w:rFonts w:ascii="Calibri" w:hAnsi="Calibri" w:eastAsia="Calibri" w:cs="" w:asciiTheme="minorHAnsi" w:cstheme="minorBidi" w:eastAsiaTheme="minorHAnsi" w:hAnsiTheme="minorHAnsi"/>
          <w:color w:val="auto"/>
          <w:sz w:val="22"/>
          <w:szCs w:val="22"/>
          <w:lang w:val="ru-RU" w:eastAsia="en-US" w:bidi="ar-SA"/>
        </w:rPr>
      </w:pPr>
      <w:r>
        <w:rPr>
          <w:rFonts w:eastAsia="Calibri" w:cs="" w:asciiTheme="minorBidi" w:cstheme="minorBidi" w:eastAsiaTheme="minorHAnsi" w:hAnsiTheme="minorBidi"/>
          <w:color w:val="auto"/>
          <w:sz w:val="28"/>
          <w:szCs w:val="22"/>
          <w:lang w:val="ru-RU" w:eastAsia="en-US" w:bidi="ar-SA"/>
        </w:rPr>
        <w:t xml:space="preserve"> 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Угловой штамп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Органа, выдавшего документ                                                                          Адресат </w:t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9071"/>
      </w:tblGrid>
      <w:tr>
        <w:trPr/>
        <w:tc>
          <w:tcPr>
            <w:tcW w:w="9071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Уведомление об отказе в исправлении опечаток и (или) ошибок, допущенных в документах, выданных заявителю по результатам предоставления Услуги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535"/>
        <w:gridCol w:w="4534"/>
      </w:tblGrid>
      <w:tr>
        <w:trPr/>
        <w:tc>
          <w:tcPr>
            <w:tcW w:w="4535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4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На основании запроса 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(номер и дата запроса на предоставление Услуги)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поступившего на рассмотрение 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2"/>
          <w:szCs w:val="24"/>
        </w:rPr>
        <w:t>(указывается дата получения запроса)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уведомляем Вас об отказе в исправлении опечаток и (или) ошибок, допущенных в документах, выданных заявителю по результатам предоставления Услуги, в связи с тем, что _____________________________________________________________________________.</w:t>
      </w:r>
    </w:p>
    <w:p>
      <w:pPr>
        <w:pStyle w:val="ConsPlusNonformat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(указываются причины отказа)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Уведомление об отказе в исправлении опечаток и(или) ошибок, допущенных в документах, выданных заявителю по результатам предоставления Услуги, в соответствии с ____________________________________________________может быть обжалован в суде.</w:t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969"/>
        <w:gridCol w:w="1806"/>
        <w:gridCol w:w="3264"/>
      </w:tblGrid>
      <w:tr>
        <w:trPr/>
        <w:tc>
          <w:tcPr>
            <w:tcW w:w="3969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4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69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полное наименование должности</w:t>
            </w:r>
          </w:p>
        </w:tc>
        <w:tc>
          <w:tcPr>
            <w:tcW w:w="1806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264" w:type="dxa"/>
            <w:tcBorders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инициалы, фамилия</w:t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3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54"/>
      <w:headerReference w:type="first" r:id="rId55"/>
      <w:footerReference w:type="default" r:id="rId56"/>
      <w:footerReference w:type="first" r:id="rId57"/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Courier New">
    <w:charset w:val="01"/>
    <w:family w:val="roman"/>
    <w:pitch w:val="variable"/>
  </w:font>
  <w:font w:name="Segoe UI Symbo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3439"/>
      <w:gridCol w:w="3439"/>
      <w:gridCol w:w="3440"/>
    </w:tblGrid>
    <w:tr>
      <w:trPr/>
      <w:tc>
        <w:tcPr>
          <w:tcW w:w="3439" w:type="dxa"/>
          <w:tcBorders/>
        </w:tcPr>
        <w:p>
          <w:pPr>
            <w:pStyle w:val="Normal"/>
            <w:ind w:hanging="0"/>
            <w:jc w:val="left"/>
            <w:rPr>
              <w:rFonts w:ascii="Times New Roman" w:hAnsi="Times New Roman"/>
              <w:sz w:val="20"/>
            </w:rPr>
          </w:pPr>
          <w:r>
            <w:rPr>
              <w:sz w:val="20"/>
            </w:rPr>
            <w:fldChar w:fldCharType="begin" w:fldLock="true"/>
          </w:r>
          <w:r>
            <w:rPr>
              <w:sz w:val="20"/>
            </w:rPr>
            <w:instrText xml:space="preserve"> DATE \@"dd.MM.yyyy"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24.09.2025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  <w:tc>
        <w:tcPr>
          <w:tcW w:w="3439" w:type="dxa"/>
          <w:tcBorders/>
        </w:tcPr>
        <w:p>
          <w:pPr>
            <w:pStyle w:val="Normal"/>
            <w:ind w:hanging="0"/>
            <w:jc w:val="center"/>
            <w:rPr>
              <w:rFonts w:ascii="Times New Roman" w:hAnsi="Times New Roman"/>
              <w:sz w:val="20"/>
            </w:rPr>
          </w:pPr>
          <w:r>
            <w:rPr>
              <w:sz w:val="20"/>
            </w:rPr>
            <w:t xml:space="preserve">Система ГАРАНТ </w:t>
          </w:r>
        </w:p>
      </w:tc>
      <w:tc>
        <w:tcPr>
          <w:tcW w:w="3440" w:type="dxa"/>
          <w:tcBorders/>
        </w:tcPr>
        <w:p>
          <w:pPr>
            <w:pStyle w:val="Normal"/>
            <w:ind w:hanging="0"/>
            <w:jc w:val="right"/>
            <w:rPr>
              <w:rFonts w:ascii="Times New Roman" w:hAnsi="Times New Roman"/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429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434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</w:p>
      </w:tc>
    </w:tr>
  </w:tbl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>
      <w:pPr>
        <w:pStyle w:val="FootnoteText"/>
        <w:jc w:val="both"/>
        <w:rPr/>
      </w:pPr>
      <w:r>
        <w:rPr>
          <w:rStyle w:val="Style16"/>
        </w:rPr>
        <w:footnoteRef/>
      </w:r>
      <w:r>
        <w:rPr/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4">
    <w:p>
      <w:pPr>
        <w:pStyle w:val="Normal"/>
        <w:jc w:val="both"/>
        <w:rPr>
          <w:szCs w:val="20"/>
        </w:rPr>
      </w:pPr>
      <w:r>
        <w:rPr>
          <w:rStyle w:val="Style16"/>
        </w:rPr>
        <w:footnoteRef/>
      </w:r>
      <w:r>
        <w:rPr>
          <w:szCs w:val="20"/>
        </w:rPr>
        <w:t xml:space="preserve"> </w:t>
      </w:r>
      <w:r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933227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427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431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93451062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432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szCs w:val="28"/>
        <w:rFonts w:ascii="Times New Roman" w:hAnsi="Times New Roman"/>
        <w:color w:val="auto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szCs w:val="28"/>
        <w:color w:val="auto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szCs w:val="28"/>
        <w:rFonts w:ascii="Times New Roman" w:hAnsi="Times New Roman" w:cs="Times New Roman"/>
        <w:color w:val="auto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5f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Heading1" w:customStyle="1">
    <w:name w:val="Heading 1"/>
    <w:basedOn w:val="Normal3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Heading2" w:customStyle="1">
    <w:name w:val="Heading 2"/>
    <w:basedOn w:val="Style18"/>
    <w:qFormat/>
    <w:pPr/>
    <w:rPr/>
  </w:style>
  <w:style w:type="paragraph" w:styleId="Heading3" w:customStyle="1">
    <w:name w:val="Heading 3"/>
    <w:basedOn w:val="Style18"/>
    <w:qFormat/>
    <w:pPr/>
    <w:rPr/>
  </w:style>
  <w:style w:type="paragraph" w:styleId="Heading4" w:customStyle="1">
    <w:name w:val="Heading 4"/>
    <w:basedOn w:val="Style18"/>
    <w:qFormat/>
    <w:pPr/>
    <w:rPr/>
  </w:style>
  <w:style w:type="paragraph" w:styleId="Heading5">
    <w:name w:val="Heading 5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uiPriority w:val="9"/>
    <w:unhideWhenUsed/>
    <w:qFormat/>
    <w:rsid w:val="005f433e"/>
    <w:pPr>
      <w:keepNext w:val="true"/>
      <w:keepLines/>
      <w:widowControl/>
      <w:bidi w:val="0"/>
      <w:spacing w:lineRule="auto" w:line="259" w:before="200" w:after="0"/>
      <w:jc w:val="left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uiPriority w:val="99"/>
    <w:qFormat/>
    <w:rsid w:val="00c955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c955f6"/>
    <w:rPr>
      <w:rFonts w:ascii="Times New Roman" w:hAnsi="Times New Roman" w:eastAsia="Times New Roman" w:cs="Times New Roman"/>
      <w:sz w:val="20"/>
      <w:szCs w:val="20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c955f6"/>
    <w:rPr>
      <w:rFonts w:ascii="Segoe UI" w:hAnsi="Segoe UI" w:eastAsia="Times New Roman" w:cs="Segoe UI"/>
      <w:sz w:val="18"/>
      <w:szCs w:val="18"/>
    </w:rPr>
  </w:style>
  <w:style w:type="character" w:styleId="Style10" w:customStyle="1">
    <w:name w:val="Тема примечания Знак"/>
    <w:basedOn w:val="Style8"/>
    <w:link w:val="Annotationsubject"/>
    <w:uiPriority w:val="99"/>
    <w:semiHidden/>
    <w:qFormat/>
    <w:rsid w:val="00c955f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2" w:customStyle="1">
    <w:name w:val="Нижний колонтитул Знак"/>
    <w:basedOn w:val="DefaultParagraphFont"/>
    <w:uiPriority w:val="99"/>
    <w:qFormat/>
    <w:rsid w:val="00b22e57"/>
    <w:rPr>
      <w:rFonts w:ascii="Times New Roman" w:hAnsi="Times New Roman" w:eastAsia="Times New Roman" w:cs="Times New Roman"/>
      <w:sz w:val="20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db21fa"/>
    <w:rPr>
      <w:rFonts w:ascii="Times New Roman" w:hAnsi="Times New Roman" w:eastAsia="Times New Roman" w:cs="Times New Roman"/>
      <w:sz w:val="20"/>
      <w:szCs w:val="20"/>
    </w:rPr>
  </w:style>
  <w:style w:type="character" w:styleId="Style14">
    <w:name w:val="Символ концевой сноски"/>
    <w:basedOn w:val="DefaultParagraphFont"/>
    <w:uiPriority w:val="99"/>
    <w:semiHidden/>
    <w:unhideWhenUsed/>
    <w:qFormat/>
    <w:rsid w:val="00db21fa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5" w:customStyle="1">
    <w:name w:val="Текст сноски Знак"/>
    <w:basedOn w:val="DefaultParagraphFont"/>
    <w:uiPriority w:val="99"/>
    <w:qFormat/>
    <w:rsid w:val="00bb289a"/>
    <w:rPr>
      <w:rFonts w:ascii="Times New Roman" w:hAnsi="Times New Roman" w:eastAsia="Times New Roman" w:cs="Times New Roman"/>
      <w:sz w:val="20"/>
      <w:szCs w:val="20"/>
    </w:rPr>
  </w:style>
  <w:style w:type="character" w:styleId="Style16">
    <w:name w:val="Символ сноски"/>
    <w:basedOn w:val="DefaultParagraphFont"/>
    <w:uiPriority w:val="99"/>
    <w:semiHidden/>
    <w:unhideWhenUsed/>
    <w:qFormat/>
    <w:rsid w:val="00bb289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Основной текст Знак"/>
    <w:basedOn w:val="DefaultParagraphFont"/>
    <w:uiPriority w:val="1"/>
    <w:qFormat/>
    <w:rsid w:val="00143b84"/>
    <w:rPr>
      <w:rFonts w:ascii="Times New Roman" w:hAnsi="Times New Roman" w:eastAsia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qFormat/>
    <w:rsid w:val="00416ab1"/>
    <w:rPr>
      <w:rFonts w:ascii="Courier New" w:hAnsi="Courier New" w:eastAsia="Times New Roman" w:cs="Courier New"/>
      <w:sz w:val="20"/>
      <w:szCs w:val="20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Hyperlink1" w:customStyle="1">
    <w:name w:val="Hyperlink 1"/>
    <w:qFormat/>
    <w:rPr>
      <w:color w:val="000080"/>
      <w:u w:val="single"/>
    </w:rPr>
  </w:style>
  <w:style w:type="character" w:styleId="DefaultParagraphFont1" w:customStyle="1">
    <w:name w:val="Default Paragraph Font 1"/>
    <w:uiPriority w:val="1"/>
    <w:semiHidden/>
    <w:unhideWhenUsed/>
    <w:qFormat/>
    <w:rPr/>
  </w:style>
  <w:style w:type="character" w:styleId="DefaultParagraphFont2" w:customStyle="1">
    <w:name w:val="Default Paragraph Font 2"/>
    <w:uiPriority w:val="1"/>
    <w:semiHidden/>
    <w:unhideWhenUsed/>
    <w:qFormat/>
    <w:rPr/>
  </w:style>
  <w:style w:type="paragraph" w:styleId="Style18" w:customStyle="1">
    <w:name w:val="Заголовок"/>
    <w:basedOn w:val="Normal11"/>
    <w:next w:val="BodyText"/>
    <w:qFormat/>
    <w:pPr>
      <w:keepNext w:val="true"/>
      <w:spacing w:before="240" w:after="120"/>
      <w:jc w:val="center"/>
    </w:pPr>
    <w:rPr>
      <w:rFonts w:ascii="Times New Roman" w:hAnsi="Times New Roman"/>
      <w:b/>
    </w:rPr>
  </w:style>
  <w:style w:type="paragraph" w:styleId="BodyText">
    <w:name w:val="Body Text"/>
    <w:basedOn w:val="Normal"/>
    <w:link w:val="Style17"/>
    <w:uiPriority w:val="1"/>
    <w:qFormat/>
    <w:rsid w:val="00143b84"/>
    <w:pPr>
      <w:widowControl w:val="false"/>
    </w:pPr>
    <w:rPr>
      <w:sz w:val="24"/>
      <w:szCs w:val="24"/>
    </w:rPr>
  </w:style>
  <w:style w:type="paragraph" w:styleId="List" w:customStyle="1">
    <w:name w:val="List"/>
    <w:basedOn w:val="BodyText2"/>
    <w:pPr/>
    <w:rPr>
      <w:rFonts w:cs="Lohit Devanagari"/>
    </w:rPr>
  </w:style>
  <w:style w:type="paragraph" w:styleId="Caption" w:customStyle="1">
    <w:name w:val="Caption"/>
    <w:basedOn w:val="Normal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 w:customStyle="1">
    <w:name w:val="Указатель"/>
    <w:basedOn w:val="Normal3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c955f6"/>
    <w:pPr/>
    <w:rPr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c955f6"/>
    <w:pPr/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c955f6"/>
    <w:pPr/>
    <w:rPr>
      <w:b/>
      <w:bCs/>
    </w:rPr>
  </w:style>
  <w:style w:type="paragraph" w:styleId="1TimesNewRoman12" w:customStyle="1">
    <w:name w:val="! ТЗ Стиль __ТекстОсн_1и + Times New Roman 12 пт По ширине Первая стр..."/>
    <w:basedOn w:val="Normal"/>
    <w:qFormat/>
    <w:rsid w:val="003c4b9a"/>
    <w:pPr>
      <w:tabs>
        <w:tab w:val="clear" w:pos="1134"/>
        <w:tab w:val="left" w:pos="851" w:leader="none"/>
      </w:tabs>
      <w:spacing w:lineRule="auto" w:line="360" w:before="60" w:after="60"/>
      <w:ind w:firstLine="709"/>
      <w:jc w:val="both"/>
    </w:pPr>
    <w:rPr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1302"/>
    <w:pPr>
      <w:spacing w:before="0" w:after="0"/>
      <w:ind w:left="720"/>
      <w:contextualSpacing/>
    </w:pPr>
    <w:rPr/>
  </w:style>
  <w:style w:type="paragraph" w:styleId="Style20" w:customStyle="1">
    <w:name w:val="Колонтитул"/>
    <w:basedOn w:val="Normal11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 w:customStyle="1">
    <w:name w:val="Header"/>
    <w:basedOn w:val="Style20"/>
    <w:link w:val="Style11"/>
    <w:pPr>
      <w:suppressLineNumbers/>
    </w:pPr>
    <w:rPr/>
  </w:style>
  <w:style w:type="paragraph" w:styleId="Footer" w:customStyle="1">
    <w:name w:val="Footer"/>
    <w:basedOn w:val="Style20"/>
    <w:link w:val="Style12"/>
    <w:pPr>
      <w:suppressLineNumbers/>
    </w:pPr>
    <w:rPr/>
  </w:style>
  <w:style w:type="paragraph" w:styleId="EndnoteText">
    <w:name w:val="Endnote Text"/>
    <w:basedOn w:val="Normal"/>
    <w:link w:val="Style13"/>
    <w:uiPriority w:val="99"/>
    <w:semiHidden/>
    <w:unhideWhenUsed/>
    <w:rsid w:val="00db21fa"/>
    <w:pPr/>
    <w:rPr>
      <w:szCs w:val="20"/>
    </w:rPr>
  </w:style>
  <w:style w:type="paragraph" w:styleId="FootnoteText" w:customStyle="1">
    <w:name w:val="Footnote Text"/>
    <w:basedOn w:val="Normal11"/>
    <w:link w:val="Style15"/>
    <w:pPr/>
    <w:rPr>
      <w:sz w:val="20"/>
    </w:rPr>
  </w:style>
  <w:style w:type="paragraph" w:styleId="NoSpacing">
    <w:name w:val="No Spacing"/>
    <w:uiPriority w:val="1"/>
    <w:qFormat/>
    <w:rsid w:val="00ce3de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ar-SA"/>
    </w:rPr>
  </w:style>
  <w:style w:type="paragraph" w:styleId="Style21" w:customStyle="1">
    <w:name w:val="Комментарий"/>
    <w:basedOn w:val="Textreference"/>
    <w:qFormat/>
    <w:pPr>
      <w:shd w:val="clear" w:fill="F0F0F0"/>
      <w:spacing w:before="75" w:after="0"/>
      <w:ind w:right="0"/>
      <w:jc w:val="both"/>
    </w:pPr>
    <w:rPr>
      <w:i/>
      <w:color w:val="353842"/>
      <w:shd w:fill="F0F0F0" w:val="clear"/>
    </w:rPr>
  </w:style>
  <w:style w:type="paragraph" w:styleId="Style22" w:customStyle="1">
    <w:name w:val="Утратил силу"/>
    <w:basedOn w:val="Normal11"/>
    <w:qFormat/>
    <w:pPr/>
    <w:rPr>
      <w:strike/>
      <w:color w:val="666600"/>
    </w:rPr>
  </w:style>
  <w:style w:type="paragraph" w:styleId="Style23" w:customStyle="1">
    <w:name w:val="Нормальный"/>
    <w:basedOn w:val="Normal11"/>
    <w:qFormat/>
    <w:pPr/>
    <w:rPr/>
  </w:style>
  <w:style w:type="paragraph" w:styleId="Normal1" w:customStyle="1">
    <w:name w:val="Normal1"/>
    <w:qFormat/>
    <w:pPr>
      <w:widowControl w:val="false"/>
      <w:bidi w:val="0"/>
      <w:spacing w:lineRule="auto" w:line="259" w:before="0" w:after="16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zh-CN" w:bidi="hi-IN"/>
    </w:rPr>
  </w:style>
  <w:style w:type="paragraph" w:styleId="Style24" w:customStyle="1">
    <w:name w:val="Не вступил в силу"/>
    <w:basedOn w:val="Normal11"/>
    <w:qFormat/>
    <w:pPr>
      <w:ind w:hanging="139" w:left="139" w:right="0"/>
    </w:pPr>
    <w:rPr/>
  </w:style>
  <w:style w:type="paragraph" w:styleId="Style25" w:customStyle="1">
    <w:name w:val="Информация о версии"/>
    <w:basedOn w:val="Textreference"/>
    <w:qFormat/>
    <w:pPr>
      <w:shd w:val="clear" w:fill="F0F0F0"/>
      <w:spacing w:before="75" w:after="0"/>
      <w:ind w:right="0"/>
      <w:jc w:val="both"/>
    </w:pPr>
    <w:rPr>
      <w:i/>
      <w:color w:val="353842"/>
      <w:shd w:fill="F0F0F0" w:val="clear"/>
    </w:rPr>
  </w:style>
  <w:style w:type="paragraph" w:styleId="Style26" w:customStyle="1">
    <w:name w:val="Прижатый влево"/>
    <w:basedOn w:val="Normal11"/>
    <w:qFormat/>
    <w:pPr>
      <w:suppressAutoHyphens w:val="true"/>
      <w:ind w:hanging="0"/>
      <w:jc w:val="left"/>
    </w:pPr>
    <w:rPr/>
  </w:style>
  <w:style w:type="paragraph" w:styleId="Style27" w:customStyle="1">
    <w:name w:val="Заголовок статьи"/>
    <w:basedOn w:val="Normal11"/>
    <w:qFormat/>
    <w:pPr>
      <w:spacing w:before="0" w:after="0"/>
      <w:ind w:hanging="892" w:left="1612" w:right="0"/>
      <w:jc w:val="both"/>
    </w:pPr>
    <w:rPr/>
  </w:style>
  <w:style w:type="paragraph" w:styleId="Style28" w:customStyle="1">
    <w:name w:val="Заголовок ЭР (левое окно)"/>
    <w:basedOn w:val="Style18"/>
    <w:qFormat/>
    <w:pPr/>
    <w:rPr/>
  </w:style>
  <w:style w:type="paragraph" w:styleId="Style29" w:customStyle="1">
    <w:name w:val="Информация об изменениях"/>
    <w:basedOn w:val="Normal11"/>
    <w:qFormat/>
    <w:pPr>
      <w:shd w:val="clear" w:fill="EAEFED"/>
      <w:spacing w:before="180" w:after="0"/>
      <w:ind w:hanging="0" w:left="360" w:right="360"/>
    </w:pPr>
    <w:rPr>
      <w:color w:val="353842"/>
      <w:sz w:val="20"/>
      <w:shd w:fill="EAEFED" w:val="clear"/>
    </w:rPr>
  </w:style>
  <w:style w:type="paragraph" w:styleId="Preformatted" w:customStyle="1">
    <w:name w:val="Preformatted"/>
    <w:qFormat/>
    <w:pPr>
      <w:widowControl/>
      <w:suppressAutoHyphens w:val="false"/>
      <w:bidi w:val="0"/>
      <w:spacing w:lineRule="auto" w:line="259" w:before="0" w:after="0"/>
      <w:ind w:hanging="0" w:left="0" w:right="0"/>
      <w:jc w:val="both"/>
    </w:pPr>
    <w:rPr>
      <w:rFonts w:ascii="Courier New" w:hAnsi="Courier New" w:eastAsia="Symbol" w:cs="Wingdings"/>
      <w:color w:val="auto"/>
      <w:kern w:val="0"/>
      <w:sz w:val="24"/>
      <w:szCs w:val="24"/>
      <w:lang w:val="ru-RU" w:eastAsia="zh-CN" w:bidi="hi-IN"/>
    </w:rPr>
  </w:style>
  <w:style w:type="paragraph" w:styleId="BodyText1" w:customStyle="1">
    <w:name w:val="Body Text 1"/>
    <w:basedOn w:val="Normal11"/>
    <w:qFormat/>
    <w:pPr>
      <w:spacing w:lineRule="auto" w:line="276" w:before="0" w:after="140"/>
    </w:pPr>
    <w:rPr/>
  </w:style>
  <w:style w:type="paragraph" w:styleId="Style30" w:customStyle="1">
    <w:name w:val="Содержимое таблицы"/>
    <w:basedOn w:val="Normal11"/>
    <w:qFormat/>
    <w:pPr>
      <w:widowControl w:val="false"/>
      <w:suppressLineNumbers/>
    </w:pPr>
    <w:rPr/>
  </w:style>
  <w:style w:type="paragraph" w:styleId="Normal11" w:customStyle="1">
    <w:name w:val="Normal 1"/>
    <w:qFormat/>
    <w:pPr>
      <w:widowControl/>
      <w:bidi w:val="0"/>
      <w:spacing w:lineRule="auto" w:line="259" w:before="0" w:after="0"/>
      <w:ind w:firstLine="720" w:left="0" w:right="0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zh-CN" w:bidi="hi-IN"/>
    </w:rPr>
  </w:style>
  <w:style w:type="paragraph" w:styleId="Textreference" w:customStyle="1">
    <w:name w:val="Text (reference)"/>
    <w:basedOn w:val="Normal11"/>
    <w:qFormat/>
    <w:pPr>
      <w:spacing w:before="0" w:after="0"/>
      <w:ind w:hanging="0" w:left="170" w:right="170"/>
      <w:jc w:val="left"/>
    </w:pPr>
    <w:rPr>
      <w:sz w:val="24"/>
    </w:rPr>
  </w:style>
  <w:style w:type="paragraph" w:styleId="OEM" w:customStyle="1">
    <w:name w:val="Нормальный (OEM)"/>
    <w:basedOn w:val="Preformatted"/>
    <w:qFormat/>
    <w:pPr/>
    <w:rPr/>
  </w:style>
  <w:style w:type="paragraph" w:styleId="Normal2" w:customStyle="1">
    <w:name w:val="Normal 2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5a7ac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BodyText2" w:customStyle="1">
    <w:name w:val="Body Text 2"/>
    <w:basedOn w:val="Normal3"/>
    <w:qFormat/>
    <w:pPr>
      <w:spacing w:lineRule="auto" w:line="276" w:before="0" w:after="140"/>
    </w:pPr>
    <w:rPr/>
  </w:style>
  <w:style w:type="paragraph" w:styleId="Normal3" w:customStyle="1">
    <w:name w:val="Normal 3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NoList1" w:customStyle="1">
    <w:name w:val="No List 1"/>
    <w:uiPriority w:val="99"/>
    <w:semiHidden/>
    <w:unhideWhenUsed/>
    <w:qFormat/>
  </w:style>
  <w:style w:type="numbering" w:styleId="NoList2" w:customStyle="1">
    <w:name w:val="No List 2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rsid w:val="003c4b9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XZ4UM">
    <w:name w:val="Normal Table 1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uZF7e">
    <w:name w:val="Table Grid 1"/>
    <w:basedOn w:val="XZ4UM"/>
    <w:uiPriority w:val="39"/>
    <w:rsid w:val="000c22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NZKhr">
    <w:name w:val="Сетка таблицы4"/>
    <w:basedOn w:val="XZ4UM"/>
    <w:rsid w:val="000c22d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sMaKp">
    <w:name w:val="Normal Table 2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yperlink" Target="anchor11111" TargetMode="External"/><Relationship Id="rId9" Type="http://schemas.openxmlformats.org/officeDocument/2006/relationships/hyperlink" Target="anchor11112" TargetMode="External"/><Relationship Id="rId10" Type="http://schemas.openxmlformats.org/officeDocument/2006/relationships/hyperlink" Target="anchor11113" TargetMode="External"/><Relationship Id="rId11" Type="http://schemas.openxmlformats.org/officeDocument/2006/relationships/hyperlink" Target="anchor11114" TargetMode="External"/><Relationship Id="rId12" Type="http://schemas.openxmlformats.org/officeDocument/2006/relationships/hyperlink" Target="anchor11115" TargetMode="External"/><Relationship Id="rId13" Type="http://schemas.openxmlformats.org/officeDocument/2006/relationships/hyperlink" Target="anchor11116" TargetMode="External"/><Relationship Id="rId14" Type="http://schemas.openxmlformats.org/officeDocument/2006/relationships/hyperlink" Target="anchor11117" TargetMode="External"/><Relationship Id="rId15" Type="http://schemas.openxmlformats.org/officeDocument/2006/relationships/hyperlink" Target="anchor11118" TargetMode="External"/><Relationship Id="rId16" Type="http://schemas.openxmlformats.org/officeDocument/2006/relationships/hyperlink" Target="anchor11119" TargetMode="External"/><Relationship Id="rId17" Type="http://schemas.openxmlformats.org/officeDocument/2006/relationships/hyperlink" Target="anchor11120" TargetMode="External"/><Relationship Id="rId18" Type="http://schemas.openxmlformats.org/officeDocument/2006/relationships/hyperlink" Target="anchor11121" TargetMode="External"/><Relationship Id="rId19" Type="http://schemas.openxmlformats.org/officeDocument/2006/relationships/hyperlink" Target="anchor11122" TargetMode="External"/><Relationship Id="rId20" Type="http://schemas.openxmlformats.org/officeDocument/2006/relationships/hyperlink" Target="anchor11123" TargetMode="External"/><Relationship Id="rId21" Type="http://schemas.openxmlformats.org/officeDocument/2006/relationships/hyperlink" Target="anchor11124" TargetMode="External"/><Relationship Id="rId22" Type="http://schemas.openxmlformats.org/officeDocument/2006/relationships/hyperlink" Target="anchor11125" TargetMode="External"/><Relationship Id="rId23" Type="http://schemas.openxmlformats.org/officeDocument/2006/relationships/hyperlink" Target="anchor11126" TargetMode="External"/><Relationship Id="rId24" Type="http://schemas.openxmlformats.org/officeDocument/2006/relationships/hyperlink" Target="anchor11127" TargetMode="External"/><Relationship Id="rId25" Type="http://schemas.openxmlformats.org/officeDocument/2006/relationships/hyperlink" Target="anchor11128" TargetMode="External"/><Relationship Id="rId26" Type="http://schemas.openxmlformats.org/officeDocument/2006/relationships/hyperlink" Target="anchor11129" TargetMode="External"/><Relationship Id="rId27" Type="http://schemas.openxmlformats.org/officeDocument/2006/relationships/hyperlink" Target="anchor11130" TargetMode="External"/><Relationship Id="rId28" Type="http://schemas.openxmlformats.org/officeDocument/2006/relationships/hyperlink" Target="anchor11131" TargetMode="External"/><Relationship Id="rId29" Type="http://schemas.openxmlformats.org/officeDocument/2006/relationships/hyperlink" Target="anchor11132" TargetMode="External"/><Relationship Id="rId30" Type="http://schemas.openxmlformats.org/officeDocument/2006/relationships/hyperlink" Target="anchor11133" TargetMode="External"/><Relationship Id="rId31" Type="http://schemas.openxmlformats.org/officeDocument/2006/relationships/hyperlink" Target="anchor11134" TargetMode="External"/><Relationship Id="rId32" Type="http://schemas.openxmlformats.org/officeDocument/2006/relationships/hyperlink" Target="anchor11135" TargetMode="External"/><Relationship Id="rId33" Type="http://schemas.openxmlformats.org/officeDocument/2006/relationships/hyperlink" Target="anchor11136" TargetMode="External"/><Relationship Id="rId34" Type="http://schemas.openxmlformats.org/officeDocument/2006/relationships/hyperlink" Target="anchor11137" TargetMode="External"/><Relationship Id="rId35" Type="http://schemas.openxmlformats.org/officeDocument/2006/relationships/hyperlink" Target="anchor2331" TargetMode="External"/><Relationship Id="rId36" Type="http://schemas.openxmlformats.org/officeDocument/2006/relationships/hyperlink" Target="anchor2060" TargetMode="External"/><Relationship Id="rId37" Type="http://schemas.openxmlformats.org/officeDocument/2006/relationships/hyperlink" Target="anchor6" TargetMode="External"/><Relationship Id="rId38" Type="http://schemas.openxmlformats.org/officeDocument/2006/relationships/hyperlink" Target="anchor264" TargetMode="External"/><Relationship Id="rId39" Type="http://schemas.openxmlformats.org/officeDocument/2006/relationships/hyperlink" Target="anchor2641" TargetMode="External"/><Relationship Id="rId40" Type="http://schemas.openxmlformats.org/officeDocument/2006/relationships/hyperlink" Target="anchor265" TargetMode="External"/><Relationship Id="rId41" Type="http://schemas.openxmlformats.org/officeDocument/2006/relationships/hyperlink" Target="anchor2651" TargetMode="External"/><Relationship Id="rId42" Type="http://schemas.openxmlformats.org/officeDocument/2006/relationships/hyperlink" Target="anchor2070" TargetMode="External"/><Relationship Id="rId43" Type="http://schemas.openxmlformats.org/officeDocument/2006/relationships/hyperlink" Target="anchor2007" TargetMode="External"/><Relationship Id="rId44" Type="http://schemas.openxmlformats.org/officeDocument/2006/relationships/hyperlink" Target="anchor2072" TargetMode="External"/><Relationship Id="rId45" Type="http://schemas.openxmlformats.org/officeDocument/2006/relationships/hyperlink" Target="anchor2072" TargetMode="External"/><Relationship Id="rId46" Type="http://schemas.openxmlformats.org/officeDocument/2006/relationships/hyperlink" Target="anchor2721" TargetMode="External"/><Relationship Id="rId47" Type="http://schemas.openxmlformats.org/officeDocument/2006/relationships/header" Target="header5.xml"/><Relationship Id="rId48" Type="http://schemas.openxmlformats.org/officeDocument/2006/relationships/header" Target="header6.xml"/><Relationship Id="rId49" Type="http://schemas.openxmlformats.org/officeDocument/2006/relationships/footer" Target="footer1.xml"/><Relationship Id="rId50" Type="http://schemas.openxmlformats.org/officeDocument/2006/relationships/header" Target="header7.xml"/><Relationship Id="rId51" Type="http://schemas.openxmlformats.org/officeDocument/2006/relationships/header" Target="header8.xml"/><Relationship Id="rId52" Type="http://schemas.openxmlformats.org/officeDocument/2006/relationships/footer" Target="footer2.xml"/><Relationship Id="rId53" Type="http://schemas.openxmlformats.org/officeDocument/2006/relationships/footer" Target="footer3.xml"/><Relationship Id="rId54" Type="http://schemas.openxmlformats.org/officeDocument/2006/relationships/header" Target="header9.xml"/><Relationship Id="rId55" Type="http://schemas.openxmlformats.org/officeDocument/2006/relationships/header" Target="header10.xml"/><Relationship Id="rId56" Type="http://schemas.openxmlformats.org/officeDocument/2006/relationships/footer" Target="footer4.xml"/><Relationship Id="rId57" Type="http://schemas.openxmlformats.org/officeDocument/2006/relationships/footer" Target="footer5.xml"/><Relationship Id="rId58" Type="http://schemas.openxmlformats.org/officeDocument/2006/relationships/footnotes" Target="footnotes.xml"/><Relationship Id="rId59" Type="http://schemas.openxmlformats.org/officeDocument/2006/relationships/numbering" Target="numbering.xml"/><Relationship Id="rId60" Type="http://schemas.openxmlformats.org/officeDocument/2006/relationships/fontTable" Target="fontTable.xml"/><Relationship Id="rId61" Type="http://schemas.openxmlformats.org/officeDocument/2006/relationships/settings" Target="settings.xml"/><Relationship Id="rId62" Type="http://schemas.openxmlformats.org/officeDocument/2006/relationships/theme" Target="theme/theme1.xml"/><Relationship Id="rId6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8BCF6-92F3-4316-BA8D-D2CB723E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LibreOffice/7.6.7.2$Linux_X86_64 LibreOffice_project/60$Build-2</Application>
  <AppVersion>15.0000</AppVersion>
  <Pages>434</Pages>
  <Words>122204</Words>
  <Characters>987802</Characters>
  <CharactersWithSpaces>1103294</CharactersWithSpaces>
  <Paragraphs>5685</Paragraphs>
  <Company>rtlabs.ru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:creator>Кузнецов Виталий Геннадиевич</dc:creator>
  <dc:description/>
  <dc:language>ru-RU</dc:language>
  <cp:lastModifiedBy/>
  <dcterms:modified xsi:type="dcterms:W3CDTF">2025-09-24T15:10:51Z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