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E7E" w:rsidRDefault="00CD78DA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mallCaps/>
          <w:sz w:val="28"/>
          <w:szCs w:val="28"/>
        </w:rPr>
        <w:t>Вилючинского</w:t>
      </w:r>
      <w:proofErr w:type="spellEnd"/>
      <w:r>
        <w:rPr>
          <w:rFonts w:ascii="Times New Roman" w:hAnsi="Times New Roman" w:cs="Times New Roman"/>
          <w:smallCaps/>
          <w:sz w:val="28"/>
          <w:szCs w:val="28"/>
        </w:rPr>
        <w:t xml:space="preserve"> городского округа</w:t>
      </w:r>
    </w:p>
    <w:p w:rsidR="00963E7E" w:rsidRDefault="00CD78DA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закрытого административно территориального образования</w:t>
      </w:r>
    </w:p>
    <w:p w:rsidR="00963E7E" w:rsidRDefault="00CD78DA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города Вилючинска Камчатского края</w:t>
      </w:r>
    </w:p>
    <w:p w:rsidR="00963E7E" w:rsidRDefault="00963E7E">
      <w:pPr>
        <w:pStyle w:val="1"/>
        <w:rPr>
          <w:b w:val="0"/>
          <w:sz w:val="28"/>
          <w:szCs w:val="28"/>
        </w:rPr>
      </w:pPr>
    </w:p>
    <w:p w:rsidR="00963E7E" w:rsidRDefault="00963E7E">
      <w:pPr>
        <w:pStyle w:val="1"/>
        <w:rPr>
          <w:b w:val="0"/>
          <w:sz w:val="28"/>
          <w:szCs w:val="28"/>
        </w:rPr>
      </w:pPr>
    </w:p>
    <w:p w:rsidR="00963E7E" w:rsidRDefault="00CD78DA">
      <w:pPr>
        <w:pStyle w:val="1"/>
      </w:pPr>
      <w:r>
        <w:t>ПОСТАНОВЛЕНИЕ</w:t>
      </w:r>
    </w:p>
    <w:p w:rsidR="00963E7E" w:rsidRDefault="00963E7E">
      <w:pPr>
        <w:spacing w:after="0" w:line="240" w:lineRule="auto"/>
        <w:jc w:val="center"/>
      </w:pPr>
    </w:p>
    <w:p w:rsidR="00963E7E" w:rsidRDefault="00963E7E">
      <w:pPr>
        <w:spacing w:after="0" w:line="240" w:lineRule="auto"/>
        <w:jc w:val="center"/>
      </w:pPr>
    </w:p>
    <w:p w:rsidR="00963E7E" w:rsidRDefault="00CD7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№</w:t>
      </w:r>
      <w:r w:rsidRPr="00CD7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E7E" w:rsidRDefault="00963E7E">
      <w:pPr>
        <w:pStyle w:val="af"/>
      </w:pPr>
    </w:p>
    <w:p w:rsidR="00963E7E" w:rsidRDefault="00CD78DA">
      <w:pPr>
        <w:pStyle w:val="af"/>
      </w:pPr>
      <w:r>
        <w:t>г. Вилючинск</w:t>
      </w:r>
    </w:p>
    <w:p w:rsidR="00963E7E" w:rsidRDefault="00963E7E">
      <w:pPr>
        <w:pStyle w:val="a4"/>
        <w:spacing w:after="0"/>
      </w:pPr>
    </w:p>
    <w:p w:rsidR="00963E7E" w:rsidRDefault="00CD78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актуализации схемы</w:t>
      </w:r>
    </w:p>
    <w:p w:rsidR="00963E7E" w:rsidRDefault="00CD78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</w:p>
    <w:p w:rsidR="00963E7E" w:rsidRDefault="00CD78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на период до 31.12.2025</w:t>
      </w:r>
    </w:p>
    <w:p w:rsidR="00963E7E" w:rsidRDefault="00963E7E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963E7E" w:rsidRDefault="00CD7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теплоснабжении», во исполнение постановления Правительства Российской Федерации от 22.02.2012 № 154 «О требованиях к схемам теплоснабжения, порядку их разработки и утверждения»</w:t>
      </w:r>
    </w:p>
    <w:p w:rsidR="00963E7E" w:rsidRDefault="00963E7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</w:rPr>
      </w:pPr>
    </w:p>
    <w:p w:rsidR="00963E7E" w:rsidRDefault="00CD78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</w:rPr>
        <w:t>ПОСТАНОВЛЯЮ:</w:t>
      </w:r>
    </w:p>
    <w:p w:rsidR="00963E7E" w:rsidRDefault="00963E7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</w:rPr>
      </w:pPr>
    </w:p>
    <w:p w:rsidR="00963E7E" w:rsidRDefault="00CD78DA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актуализацию схемы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на период до 31.12.2025 согласно приложению к настоящему постановлению.</w:t>
      </w:r>
    </w:p>
    <w:p w:rsidR="00963E7E" w:rsidRDefault="00CD78DA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15.07.2024 № 629 «Об утверждении актуализации схемы 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на период до 31.12.2025».</w:t>
      </w:r>
    </w:p>
    <w:p w:rsidR="00963E7E" w:rsidRDefault="00CD78DA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муниципального казенного учреждения «Ресурсно-информационный центр»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О.Ю. Трофимовой опубликовать настоящее постановление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газете». Официальных известиях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</w:t>
      </w:r>
      <w:bookmarkStart w:id="0" w:name="_Hlk201749535"/>
      <w:proofErr w:type="spellStart"/>
      <w:r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ЗАТО г. Вилючинск Камчатского края и разместить на официальном сайте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информационно-телекоммуникационной сети «Интернет».</w:t>
      </w:r>
    </w:p>
    <w:p w:rsidR="00963E7E" w:rsidRDefault="00CD78DA" w:rsidP="00CD78DA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</w:t>
      </w:r>
      <w:r>
        <w:rPr>
          <w:rFonts w:ascii="Times New Roman" w:hAnsi="Times New Roman" w:cs="Times New Roman"/>
          <w:sz w:val="28"/>
          <w:szCs w:val="28"/>
        </w:rPr>
        <w:t xml:space="preserve">стоящего постановления возложить на начальника отдела по управлению городским хозяйством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И.Г.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Шатковскую</w:t>
      </w:r>
      <w:proofErr w:type="spellEnd"/>
    </w:p>
    <w:p w:rsidR="00CD78DA" w:rsidRDefault="00CD78DA" w:rsidP="00CD78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8DA" w:rsidRPr="00CD78DA" w:rsidRDefault="00CD78DA" w:rsidP="00CD78D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8D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CD78DA">
        <w:rPr>
          <w:rFonts w:ascii="Times New Roman" w:hAnsi="Times New Roman" w:cs="Times New Roman"/>
          <w:b/>
          <w:sz w:val="28"/>
          <w:szCs w:val="28"/>
        </w:rPr>
        <w:t>Вилючинского</w:t>
      </w:r>
      <w:proofErr w:type="spellEnd"/>
    </w:p>
    <w:p w:rsidR="00CD78DA" w:rsidRPr="00CD78DA" w:rsidRDefault="00CD78DA" w:rsidP="00CD78D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8DA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CD78DA">
        <w:rPr>
          <w:rFonts w:ascii="Times New Roman" w:hAnsi="Times New Roman" w:cs="Times New Roman"/>
          <w:b/>
          <w:sz w:val="28"/>
          <w:szCs w:val="28"/>
        </w:rPr>
        <w:tab/>
      </w:r>
      <w:r w:rsidRPr="00CD78DA">
        <w:rPr>
          <w:rFonts w:ascii="Times New Roman" w:hAnsi="Times New Roman" w:cs="Times New Roman"/>
          <w:b/>
          <w:sz w:val="28"/>
          <w:szCs w:val="28"/>
        </w:rPr>
        <w:tab/>
      </w:r>
      <w:r w:rsidRPr="00CD78DA">
        <w:rPr>
          <w:rFonts w:ascii="Times New Roman" w:hAnsi="Times New Roman" w:cs="Times New Roman"/>
          <w:b/>
          <w:sz w:val="28"/>
          <w:szCs w:val="28"/>
        </w:rPr>
        <w:tab/>
      </w:r>
      <w:r w:rsidRPr="00CD78DA">
        <w:rPr>
          <w:rFonts w:ascii="Times New Roman" w:hAnsi="Times New Roman" w:cs="Times New Roman"/>
          <w:b/>
          <w:sz w:val="28"/>
          <w:szCs w:val="28"/>
        </w:rPr>
        <w:tab/>
      </w:r>
      <w:r w:rsidRPr="00CD78DA">
        <w:rPr>
          <w:rFonts w:ascii="Times New Roman" w:hAnsi="Times New Roman" w:cs="Times New Roman"/>
          <w:b/>
          <w:sz w:val="28"/>
          <w:szCs w:val="28"/>
        </w:rPr>
        <w:tab/>
      </w:r>
      <w:r w:rsidRPr="00CD78D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  <w:r w:rsidRPr="00CD78DA">
        <w:rPr>
          <w:rFonts w:ascii="Times New Roman" w:hAnsi="Times New Roman" w:cs="Times New Roman"/>
          <w:b/>
          <w:sz w:val="28"/>
          <w:szCs w:val="28"/>
        </w:rPr>
        <w:t xml:space="preserve">И.В. </w:t>
      </w:r>
      <w:proofErr w:type="spellStart"/>
      <w:r w:rsidRPr="00CD78DA">
        <w:rPr>
          <w:rFonts w:ascii="Times New Roman" w:hAnsi="Times New Roman" w:cs="Times New Roman"/>
          <w:b/>
          <w:sz w:val="28"/>
          <w:szCs w:val="28"/>
        </w:rPr>
        <w:t>Головчак</w:t>
      </w:r>
      <w:proofErr w:type="spellEnd"/>
    </w:p>
    <w:p w:rsidR="00963E7E" w:rsidRDefault="00CD78DA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 xml:space="preserve">    </w:t>
      </w: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tabs>
          <w:tab w:val="left" w:pos="6195"/>
        </w:tabs>
        <w:spacing w:after="0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</w:p>
    <w:p w:rsidR="00963E7E" w:rsidRDefault="00CD78DA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 xml:space="preserve">                                                         </w:t>
      </w:r>
    </w:p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ap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/>
          <w:caps/>
          <w:kern w:val="2"/>
          <w:sz w:val="28"/>
          <w:szCs w:val="28"/>
        </w:rPr>
        <w:t xml:space="preserve">АКТУАЛИЗАЦИЯ СХЕМЫ ТЕПЛОСНАБЖЕНИЯ  </w:t>
      </w: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ap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/>
          <w:caps/>
          <w:kern w:val="2"/>
          <w:sz w:val="28"/>
          <w:szCs w:val="28"/>
        </w:rPr>
        <w:t xml:space="preserve">  ВИЛЮЧИНСКОГО ГОРОДСКОГО ОКРУГА</w:t>
      </w: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ap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/>
          <w:caps/>
          <w:kern w:val="2"/>
          <w:sz w:val="28"/>
          <w:szCs w:val="28"/>
        </w:rPr>
        <w:t>на период до 31.12.2025 года</w:t>
      </w: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tbl>
      <w:tblPr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63E7E">
        <w:trPr>
          <w:trHeight w:val="1021"/>
        </w:trPr>
        <w:tc>
          <w:tcPr>
            <w:tcW w:w="4785" w:type="dxa"/>
          </w:tcPr>
          <w:p w:rsidR="00963E7E" w:rsidRDefault="00963E7E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85" w:type="dxa"/>
          </w:tcPr>
          <w:p w:rsidR="00963E7E" w:rsidRDefault="00963E7E">
            <w:pPr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  <w:tr w:rsidR="00963E7E">
        <w:trPr>
          <w:trHeight w:val="1021"/>
        </w:trPr>
        <w:tc>
          <w:tcPr>
            <w:tcW w:w="4785" w:type="dxa"/>
          </w:tcPr>
          <w:p w:rsidR="00963E7E" w:rsidRDefault="00963E7E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785" w:type="dxa"/>
          </w:tcPr>
          <w:p w:rsidR="00963E7E" w:rsidRDefault="00963E7E">
            <w:pPr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Вилючинск 2025</w:t>
      </w: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t>Содержание</w:t>
      </w: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57"/>
        <w:gridCol w:w="7230"/>
        <w:gridCol w:w="1419"/>
      </w:tblGrid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Наименование раздела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Страница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Основание для проведения актуализации Схемы теплоснабжения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Вилючинского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Существующее положение в сфере теплоснабжения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Распределение тепловой нагрузки между источниками тепловой эн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ергии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4.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Изменение тепловых нагрузок в зонах действия источников тепловой энергии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5.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Мероприятия по обеспечению технической возможности подключения к системе теплоснабжения объектов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капитального строительства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lastRenderedPageBreak/>
              <w:t>14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6.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Переключение тепловой нагрузки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от котельных на источники с комбинированной выработкой тепловой и электрической энергии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7.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Мероприятия по переоборудованию котельных в источники комбинированной выработки электрической и тепловой энергии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8.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Строительство, реконструкция тепловых сет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ей, включая их реконструкцию в связи с исчерпанием установленного и продленного ресурсов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9.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Баланс топливно-энергетических ресурсов для обеспечения теплоснабжения, в том числе расходов аварийных запасов топлива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16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Финансовые потребности и источники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их покрытия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10.1.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Финансовые потребности для реализации мероприятий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10.2.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Источники покрытия инвестиций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</w:tr>
      <w:tr w:rsidR="00963E7E"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Внесение изменений в Схему теплоснабжения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Вилючинского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 xml:space="preserve"> городского округа в соответствии с поступившими предложениями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</w:tr>
    </w:tbl>
    <w:p w:rsidR="00963E7E" w:rsidRDefault="00963E7E">
      <w:pPr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</w:p>
    <w:p w:rsidR="00963E7E" w:rsidRDefault="00963E7E">
      <w:pPr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</w:p>
    <w:p w:rsidR="00963E7E" w:rsidRDefault="00963E7E">
      <w:pPr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</w:p>
    <w:p w:rsidR="00963E7E" w:rsidRDefault="00963E7E">
      <w:pPr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</w:p>
    <w:p w:rsidR="00963E7E" w:rsidRDefault="00963E7E">
      <w:pPr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</w:p>
    <w:p w:rsidR="00963E7E" w:rsidRDefault="00963E7E">
      <w:pPr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 xml:space="preserve">1. 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>Основание для проведения актуализации схемы теплоснабжения</w:t>
      </w: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>Вилючинского</w:t>
      </w:r>
      <w:proofErr w:type="spellEnd"/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 xml:space="preserve"> городского округа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t xml:space="preserve">Схема теплоснабжения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</w:rPr>
        <w:t>Вилючинского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</w:rPr>
        <w:t xml:space="preserve"> городского округа до 2027 года утверждена постановлением главы администрации городского округа от 20.02.2013 № 255, а также от 18.11</w:t>
      </w:r>
      <w:r>
        <w:rPr>
          <w:rFonts w:ascii="Times New Roman" w:eastAsia="SimSun" w:hAnsi="Times New Roman" w:cs="Times New Roman"/>
          <w:kern w:val="2"/>
          <w:sz w:val="28"/>
          <w:szCs w:val="28"/>
        </w:rPr>
        <w:t>.2019 № 1115 (далее – Схема).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t>Актуализация схемы теплоснабжения производится на основании: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t xml:space="preserve">- постановления Правительства Российской Федерации от 22.02.2012 </w:t>
      </w:r>
      <w:r>
        <w:rPr>
          <w:rFonts w:ascii="Times New Roman" w:eastAsia="SimSun" w:hAnsi="Times New Roman" w:cs="Times New Roman"/>
          <w:kern w:val="2"/>
          <w:sz w:val="28"/>
          <w:szCs w:val="28"/>
        </w:rPr>
        <w:br/>
        <w:t>№ 154 «О требованиях к схемам теплоснабжения, порядку их разработки и утверждения»;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t xml:space="preserve">- методических </w:t>
      </w:r>
      <w:r>
        <w:rPr>
          <w:rFonts w:ascii="Times New Roman" w:eastAsia="SimSun" w:hAnsi="Times New Roman" w:cs="Times New Roman"/>
          <w:kern w:val="2"/>
          <w:sz w:val="28"/>
          <w:szCs w:val="28"/>
        </w:rPr>
        <w:t>рекомендаций по разработке схем теплоснабжения, утвержденных совместным Приказом Министерства энергетики РФ и Министерством регионального развития РФ от 29.12.2012 № 565/667;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lastRenderedPageBreak/>
        <w:t xml:space="preserve">- постановления администрации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</w:rPr>
        <w:t>Вилючинского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</w:rPr>
        <w:t xml:space="preserve"> городского округа от 11.01.2016 № 2 «О</w:t>
      </w:r>
      <w:r>
        <w:rPr>
          <w:rFonts w:ascii="Times New Roman" w:eastAsia="SimSun" w:hAnsi="Times New Roman" w:cs="Times New Roman"/>
          <w:kern w:val="2"/>
          <w:sz w:val="28"/>
          <w:szCs w:val="28"/>
        </w:rPr>
        <w:t xml:space="preserve">б определении единой теплоснабжающей организации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</w:rPr>
        <w:t>Вилючинского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</w:rPr>
        <w:t xml:space="preserve"> городского округа»;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t>- предложений от АО «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</w:rPr>
        <w:t>Камчатэнергосервис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</w:rPr>
        <w:t>»</w:t>
      </w:r>
      <w:r>
        <w:rPr>
          <w:rFonts w:eastAsia="SimSun" w:cs="Tahoma"/>
          <w:kern w:val="2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</w:rPr>
        <w:t>(далее по тексту заменить МУП «ГТВС» на АО «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</w:rPr>
        <w:t>Камчатэнергосервис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</w:rPr>
        <w:t>»).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t xml:space="preserve">Актуализация Схемы предусматривает определение мероприятий по </w:t>
      </w:r>
      <w:r>
        <w:rPr>
          <w:rFonts w:ascii="Times New Roman" w:eastAsia="SimSun" w:hAnsi="Times New Roman" w:cs="Times New Roman"/>
          <w:kern w:val="2"/>
          <w:sz w:val="28"/>
          <w:szCs w:val="28"/>
        </w:rPr>
        <w:t>развитию теплоснабжения городского округа на период до 31.12.2025, а также потребность в финансовых ресурсах и источниках их покрытия.</w:t>
      </w:r>
    </w:p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</w:p>
    <w:p w:rsidR="00963E7E" w:rsidRDefault="00CD78DA">
      <w:pPr>
        <w:spacing w:after="0" w:line="240" w:lineRule="auto"/>
        <w:ind w:firstLine="567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>2. Существующее положение в сфере теплоснабжения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В соответствии со Схемой (Книга 1 «Существующее положение в сфере произ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водства, передачи и потребления тепловой энергии для целей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теплоснабжения») раздел «1. Функциональная структура организации теплоснабжения» принять в следующей редакции:</w:t>
      </w:r>
    </w:p>
    <w:p w:rsidR="00963E7E" w:rsidRDefault="00CD78DA">
      <w:pPr>
        <w:spacing w:after="0" w:line="240" w:lineRule="auto"/>
        <w:ind w:firstLine="567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>1.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>Функциональная структура организации теплоснабжения.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Теплоснабжение жилищного и общ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 xml:space="preserve">ественного фонда 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Вилючинского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 xml:space="preserve"> городского округа осуществляет акционерное общество «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Камчатэнергосервис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» (далее по тексту – АО «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Камчатэнергосервис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»), образованное в соответствии с решением единственного учредителя ГУП «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Камчатэнергоснаб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» от 06.06.2011 №1, Гра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жданским кодексом Российской Федерации, Федеральным законом «Об акционерных обществах», иными нормативными актами Российской Федерации</w:t>
      </w:r>
      <w:r>
        <w:rPr>
          <w:rFonts w:eastAsia="SimSun" w:cs="Tahoma"/>
          <w:kern w:val="2"/>
        </w:rPr>
        <w:t xml:space="preserve"> 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и является непубличным Обществом, реорганизовано путем присоединения к нему Открытого акционерного общества «Управление п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роизводственно-технологической комплектации предприятий жилищно-коммунального хозяйства Камчатского края на основании решений единственного акционера ГУП «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Камчатэнергоснаб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» № 2 от 26.07.2014 и №14 от 26.07.2014.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Основными направлениями производственной дея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 xml:space="preserve">тельности </w:t>
      </w:r>
      <w:bookmarkStart w:id="2" w:name="_Hlk200528797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br/>
        <w:t>АО «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Камчатэнергосервис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»</w:t>
      </w:r>
      <w:bookmarkEnd w:id="2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 xml:space="preserve"> является производство пара и горячей воды (тепловой энергии) котельными.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В эксплуатации АО «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Камчатэнергосервис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 xml:space="preserve">», на основании концессионного соглашения в отношении объектов теплоснабжения на территории 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Вилючинского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 xml:space="preserve"> городс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кого округа от 25.12.2018, находятся три изолированные территориально разнесенные системы теплоснабжения, образованные на базе котельных с установленной мощностью от 0,7 до 56,0 Гкал/час и суммарной годовой выработкой около 240 тыс. Гкал. Системы теплоснаб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жения располагаются на территории: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- жилого района Приморский;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- жилого района Рыбачий;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- поселка Сельдевая.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К тепловым сетям, эксплуатируемым АО «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Камчатэнергосервис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» присоединено 159 жилое здание общей площадью 537,7 тыс. м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  <w:vertAlign w:val="superscript"/>
        </w:rPr>
        <w:t>2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.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 xml:space="preserve">Также на территории 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Вилючинск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ого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 xml:space="preserve"> городского округа функционируют 9 ведомственных котельных, покрывающих потребности в тепле объектов базы МУП «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Ремжилсервис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», базы МУП «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Автодор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», ОАО «Северо-Восточный ремонтный Центр» и Министерства обороны Российской Федерации.</w:t>
      </w:r>
    </w:p>
    <w:p w:rsidR="00963E7E" w:rsidRDefault="00963E7E">
      <w:pPr>
        <w:spacing w:after="0" w:line="240" w:lineRule="auto"/>
        <w:ind w:firstLine="567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</w:p>
    <w:p w:rsidR="00963E7E" w:rsidRDefault="00CD78DA">
      <w:pPr>
        <w:widowControl w:val="0"/>
        <w:numPr>
          <w:ilvl w:val="0"/>
          <w:numId w:val="6"/>
        </w:num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>Источники тепловой эне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>ргии</w:t>
      </w:r>
    </w:p>
    <w:p w:rsidR="00963E7E" w:rsidRDefault="00CD78DA">
      <w:pPr>
        <w:widowControl w:val="0"/>
        <w:numPr>
          <w:ilvl w:val="1"/>
          <w:numId w:val="6"/>
        </w:num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>Состав и технические характеристики основного</w:t>
      </w:r>
    </w:p>
    <w:p w:rsidR="00963E7E" w:rsidRDefault="00CD78DA">
      <w:pPr>
        <w:spacing w:after="0" w:line="240" w:lineRule="auto"/>
        <w:ind w:left="927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>оборудования</w:t>
      </w:r>
    </w:p>
    <w:p w:rsidR="00963E7E" w:rsidRDefault="00CD78D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Выработка тепловой энергии для нужд жилищного и общественного фонда АО «</w:t>
      </w:r>
      <w:proofErr w:type="spellStart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Камчатэнергосервис</w:t>
      </w:r>
      <w:proofErr w:type="spellEnd"/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» осуществляется на двух паровых и одной автономной водогрейной котельной.</w:t>
      </w:r>
    </w:p>
    <w:p w:rsidR="00963E7E" w:rsidRDefault="00CD78D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 xml:space="preserve">Паровая котельная, 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расположенная по адресу: ул. Приморская, д. 19 (котельная «Центральная» жилого района Приморский) суммарной установленной тепловой мощностью 51,2 Гкал/ч осуществляет централизованное теплоснабжение жилого района Приморский.</w:t>
      </w:r>
    </w:p>
    <w:p w:rsidR="00963E7E" w:rsidRDefault="00CD78D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Паровая котельная, расположенная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 xml:space="preserve"> по адресу: ул. Вилкова д. 5 (котельная «Центральная» жилого района Рыбачий) суммарной установленной тепловой мощностью 56 Гкал/ч осуществляет централизованное теплоснабжение жилого района Рыбачий.</w:t>
      </w:r>
    </w:p>
    <w:p w:rsidR="00963E7E" w:rsidRDefault="00CD78D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Водогрейная котельная «Автономная» поселка Сельдевая жилог</w:t>
      </w:r>
      <w:r>
        <w:rPr>
          <w:rFonts w:ascii="Times New Roman" w:eastAsia="SimSun" w:hAnsi="Times New Roman" w:cs="Times New Roman"/>
          <w:bCs/>
          <w:kern w:val="2"/>
          <w:sz w:val="28"/>
          <w:szCs w:val="28"/>
        </w:rPr>
        <w:t>о района Приморский суммарной установленной тепловой мощностью 0,7 Гкал/ч осуществляет теплоснабжение одного дома по адресу ул. Владивостокская, д. 4.</w:t>
      </w:r>
    </w:p>
    <w:p w:rsidR="00963E7E" w:rsidRDefault="00963E7E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</w:p>
    <w:p w:rsidR="00963E7E" w:rsidRDefault="00CD78DA">
      <w:pPr>
        <w:spacing w:after="0" w:line="240" w:lineRule="auto"/>
        <w:ind w:left="927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>13. Базовые целевые показатели систем теплоснабжения</w:t>
      </w:r>
    </w:p>
    <w:p w:rsidR="00963E7E" w:rsidRDefault="00963E7E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</w:p>
    <w:p w:rsidR="00963E7E" w:rsidRDefault="00CD78D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0"/>
          <w:szCs w:val="20"/>
        </w:rPr>
      </w:pPr>
      <w:r>
        <w:rPr>
          <w:rFonts w:ascii="Times New Roman" w:eastAsia="SimSun" w:hAnsi="Times New Roman" w:cs="Times New Roman"/>
          <w:b/>
          <w:kern w:val="2"/>
          <w:sz w:val="20"/>
          <w:szCs w:val="20"/>
        </w:rPr>
        <w:t xml:space="preserve">Таблица 13.4 – Базовые целевые показатели </w:t>
      </w:r>
      <w:r>
        <w:rPr>
          <w:rFonts w:ascii="Times New Roman" w:eastAsia="SimSun" w:hAnsi="Times New Roman" w:cs="Times New Roman"/>
          <w:b/>
          <w:kern w:val="2"/>
          <w:sz w:val="20"/>
          <w:szCs w:val="20"/>
        </w:rPr>
        <w:t>эффективности передачи тепловой энергии в зоне действия котельной жилого района Приморский.</w:t>
      </w:r>
    </w:p>
    <w:p w:rsidR="00963E7E" w:rsidRDefault="00963E7E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64"/>
        <w:gridCol w:w="2463"/>
        <w:gridCol w:w="2464"/>
        <w:gridCol w:w="2463"/>
      </w:tblGrid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Потери тепловой энергии,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ч.: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14 226,9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14 111,1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 же в % от отпуска тепловой энергии с коллекторов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ника тепловой энергии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14,1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Потери теплоносителя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29 291,5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29 393,9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Потери теплоносителя в % от циркуляции теплоносителя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Удельный расход теплоносителя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тонн/Гкал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Удельный расход электроэнергии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кВт*ч/Гкал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Фактический радиус теплоснабжения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Эффективный радиус теплоснабжения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Температура теплоносителя в подающем теплопроводе, принятая для проектирования тепловых сетей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Разность температур в подающей и обратной тепломагистрали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расчетной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температуре наружного воздуха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нормативная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фактическая, в период достигнутого максимума тепловой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нагрузки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Средневзвешенная плотность тепловой нагрузки в зоне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источника тепловой энергии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Гкал/ч/км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Удельная материальная характеристика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137,5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магистральных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122,9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внутриквартальных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</w:tr>
    </w:tbl>
    <w:p w:rsidR="00963E7E" w:rsidRDefault="00963E7E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</w:p>
    <w:p w:rsidR="00963E7E" w:rsidRDefault="00963E7E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</w:p>
    <w:p w:rsidR="00963E7E" w:rsidRDefault="00CD78D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0"/>
          <w:szCs w:val="20"/>
        </w:rPr>
      </w:pPr>
      <w:r>
        <w:rPr>
          <w:rFonts w:ascii="Times New Roman" w:eastAsia="SimSun" w:hAnsi="Times New Roman" w:cs="Times New Roman"/>
          <w:b/>
          <w:kern w:val="2"/>
          <w:sz w:val="20"/>
          <w:szCs w:val="20"/>
        </w:rPr>
        <w:t xml:space="preserve">Таблица 13.5 – Базовые целевые показатели эффективности передачи тепловой энергии в зоне действия котельной </w:t>
      </w:r>
      <w:r>
        <w:rPr>
          <w:rFonts w:ascii="Times New Roman" w:eastAsia="SimSun" w:hAnsi="Times New Roman" w:cs="Times New Roman"/>
          <w:b/>
          <w:kern w:val="2"/>
          <w:sz w:val="20"/>
          <w:szCs w:val="20"/>
        </w:rPr>
        <w:t>жилого района Рыбачий.</w:t>
      </w:r>
    </w:p>
    <w:p w:rsidR="00963E7E" w:rsidRDefault="00963E7E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64"/>
        <w:gridCol w:w="2463"/>
        <w:gridCol w:w="2464"/>
        <w:gridCol w:w="2463"/>
      </w:tblGrid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Целевой показатель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Потери тепловой энергии, в т.ч.: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10 636,3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10 402,1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 же в % от отпуска тепловой энергии с коллекторов источника тепловой энергии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15,6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Потери теплоносителя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18 270,7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18 336,2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Потери теплоносителя в % от циркуляции теплоносителя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Удельный расход теплоносителя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тонн/Гкал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Удельный расход электроэнергии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кВт*ч/Гкал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Фактический радиус теплоснабжения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4,0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Эффективный радиус теплоснабжения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8,7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Температура теплоносителя в подающем теплопроводе, принятая для проектирования тепловых сетей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110/95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110/95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Разность температур в подающей и обратной тепломагистрали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расчетной температуре наружного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воздуха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нормативная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40/25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40/25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фактическая, в период достигнутого максимума тепловой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нагрузки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25,5/14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27/14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Средневзвешенная плотность тепловой нагрузки в зоне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источника тепловой энергии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Гкал/ч/км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Удельная материальная характеристика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магистральных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65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963E7E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внутриквартальных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/Гкал/ч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</w:tbl>
    <w:p w:rsidR="00963E7E" w:rsidRDefault="00963E7E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</w:p>
    <w:p w:rsidR="00963E7E" w:rsidRDefault="00CD7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15. Приложение А.</w:t>
      </w:r>
    </w:p>
    <w:p w:rsidR="00963E7E" w:rsidRDefault="00CD78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А.2. Характеристики участков тепловых сетей 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Камчатэнергосервис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63E7E" w:rsidRDefault="00963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3E7E" w:rsidRDefault="00CD7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Таблица А.1 – Характеристики участков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тепловых сетей котельной жилого района Приморский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2024"/>
        <w:gridCol w:w="1582"/>
        <w:gridCol w:w="1487"/>
        <w:gridCol w:w="1549"/>
        <w:gridCol w:w="1497"/>
        <w:gridCol w:w="1489"/>
      </w:tblGrid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Участок тепловой сети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прокладки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 ввода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эксплу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атацию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Наружный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диаметр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трубо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проводов,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мм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Длина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трубо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провода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одно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трубном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исчисле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Матери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ристика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кв. м</w:t>
            </w:r>
          </w:p>
        </w:tc>
      </w:tr>
      <w:tr w:rsidR="00963E7E"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Участки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тепловой сети от котельной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котельная-ТК3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69,55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ТК-3 до ТК-3А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ТК-3А до ТК-14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ТК-14 до ТК-15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17,04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ТК15-ТК15А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ТК15А-ТК17Б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55,38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ТК15А-ТК15Б(ГИБДД)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ТК1-котельная (ТП№1)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ТК40А-ТК41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37,23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ТК40-ТК60Б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564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89,676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ТК60Б-ТК115А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114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ТК40-ТК40А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7,884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ТК42-ТК43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33,288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ТК41А-ТК56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10,812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ТК57-ТК58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15,12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 58-ТК59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17,712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ТК44-ТК52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ТК44-ТК45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27,03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ТК46-Мира13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15,12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ТК46-Мира14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ТК50-ТК51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6,48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ТК45-ТК46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Мира16- ТК51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8-ТК52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10,176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8-Мира7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5,518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Мира10 – ТК44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0,356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10-Мира18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4-ТК41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ТК50 – Мира 15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2,67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кот. М-н 2 37-школа 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7,12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кот. М-н 2 37-школа 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ТК18-Примор 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ТК18А-Прим5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19-Примор 11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23А-Примор 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2,592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ТК 23-Примор 15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1,824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27-ЦБС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59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3,363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21-Примор 14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20-Примор 12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ТК23-ТК23А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12,96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ТК22-ТК21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30,66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ТК21-ТК20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10,95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Примор12-Примор13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2,67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Примор7-Примор 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4,094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35-Кронштад1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9,79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КроншТК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30-ТК31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КронштТК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36-ТК37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10,64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КронштТК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38А-ТК39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КронштТК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38-ТК38А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ТК39-ТК40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105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34,125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ТК39-ТК40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105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28,665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17-ТК17А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17Б-ТК27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127,8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4-Примор 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3,024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ТК18А-Приморск10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1,424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Приморск ТК17-ТК17Б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17А-ТК18А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27,93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18-ТК17А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6,57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19-ТК18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19,71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20-ТК19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28,47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ПриморТК30-ТК38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31-ТК32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32-ТК33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16,644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33-ТК34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26,28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1-Примор 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1,672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ТК23- Прим16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3,916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Примор.ТК22-ТК23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Кронштадт ТК34-ТК35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9,54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ПриморскаяТК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27-ТК29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КронштадтскТК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29-ТК30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КронштадтТК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35-ТК36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Кронштадт12 – ТК37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Кронштадт12 – ТК36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3,204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Кронштадт 2 – ТК35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0,304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Кронштадт 3 – ТК34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2,964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Кронштадт 4 – ТК33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Кронштадт 5 – ТК32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6,942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Кронштадт 6 – ТК31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Кронштадт 9 – ТК31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0,216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Кронштадт 7 – ТК38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0,356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Кронштадт 8 – ТК30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0,456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Кронштадт 8 – ТК29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0,912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41-ТК41А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42-ТК55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11,016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МираТК41-ТК42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11,448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ТК57-ТК56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8,268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ТК43-ТК44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26,28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50-ТК46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12,96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45-Мира12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1,246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45-Мира11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1,246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52-Мира9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2,314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53-Мира2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55-Мира17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56-Мира6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3,648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57-Мира5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41А-Мира3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МираТК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42-Мира1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ТК27 до д.7Приморская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1,424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ТК30 до д.8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Кронштадтск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1,068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ТК59 – ДЮСШ-1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0,456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8-ЦРТДЮ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 4-я. Сад №3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9,88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сети теплоснабжения 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ра21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211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33,549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труб-д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отопл.склад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хлебоза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вод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14,25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3,952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Мира 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3,952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Приморская 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7,56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Приморская 12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4,864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Приморская 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6,23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Приморская 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5,696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Приморская 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5,696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ТК36-музшкола№1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0,114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ТК61-ТК24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80,088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ТК2-ТК61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96,278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ТК1А-ТК1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82,55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ТК1А-ТК2А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ТК2-ТК2А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53,958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ТК1А-котельная (ТП№2)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84,64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ТК61-ТК62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65,65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ТК62-ТК63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ТК63-ТК64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ТК114-ТК115 Спорт.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91,584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97- Спорт.3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114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21,66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97-ТК115 Спорт.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29,256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ТК115-ТК116 Спорт.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ТК116-ТК117 Спорт.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42,486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ТК117-ТК90 Спорт.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90-ТК112 Спорт.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111-ТК112 Спорт.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17,49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ТК118-ТК119 Спорт.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ТК119-Спорт.2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6,996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ТК118-Спорт.1А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114-Спорт.5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8,268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ТК 114-ТК115Аспорт.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98-Спорт.8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Спорт7-Спорт6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98-Спорт.7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8,64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ТК111-Спорт.1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ТК115А -ТК115Б Спорт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ТК98-ТК115Спорт.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ТК 68-ТК67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67-ТК64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94,25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ТК67-Победы 20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29,808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ТК64-Победа 18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5,832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ТК64-ТК65 Победы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21,024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65-ТК11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34,026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11-ТК11А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33,39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11А-ТК66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ТК11- Победы17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66-Победы 21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0,304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65 -Победы 16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4,408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63-ТК6А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3,816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ТК64-ТК6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15,96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6-Победы 12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5,624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6А-Победы 14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64-Победы 13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2,808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4-Победы 10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5,724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7-Победы 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4,536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26-Победы 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ТК 99А-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дет.сад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2,937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99А-Победы3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2,492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24-ТК100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223,224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101-ТК102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14,31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102-103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9,54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104-администрация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ТК104-гараж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адм-ции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ТК103-ТК104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6,118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ТК103-ТК14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33,072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ТК13-ТК14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12,312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ТК14-Победы 27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6,052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ТК99-ТК100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ТК99-ТК101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14,31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ТК104-Победа 28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4,806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99-Победа 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9,72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ТК74-ТК75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52,152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ТК 9- д.16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71А – Центр9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 68 А- д.13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3,204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ТК14 Победа 26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61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5,429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13 -Победа 25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1,068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д.25-д.23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5,696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25 -Победы6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2,128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7 -Победы 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4,272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5 -Победы 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2,314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Победы ТК6-ТК6А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15,96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ТК25-ТК24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15,33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10-ТК62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ПобедыТК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5-ТК4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9,256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5 -Победа 11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0,534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4 -Победы 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0,864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26 -Победа 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6,23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11А -Победы 19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1,246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ТК100-ТК105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596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253,896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Центр.ТК91А-ТК107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47,712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ТК107 – Центр. 33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1,068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ТК107-ТК84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25,56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Центр.ТК82А-ТК79А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15,33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82А-Центр.26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1,424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Центр.ТК82-ТК83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30,66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ТК82А-ТК82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61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13,359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Центр.ТК83-ТК84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49,056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ЦентрТК78-ТК79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30,66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74-ТК68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448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ТК79А-ТК79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18,834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ЦентрТК74-ТК9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25,27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9-Центр.18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9,612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74-Центр 17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ТК75-Центр 19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ТК75 -Центр 21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2,047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77-Центр23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78-Центр 20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2,136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79-Центр22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1,602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79-Центр 24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82-Центр.28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10,368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83А-Центр30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0,712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84 -Центр31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1,424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ТК83-ТК83А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8,64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ТК84-ТК86А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ТК86-ТК86А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72,42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86-87А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18,62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ТК87-ТК87А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11,97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ТК87-школа 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1,728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68-ТК68А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28,032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68А-Центр 15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6,48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68А-ТК69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39,42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69-ТК70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32,436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70-ТК71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71-ТК71А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12,96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71А-Центр 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6,48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69,70-Центр.11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1981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71,71А-Центр 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2,67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ТК71-Центр10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ЦентральнТК72А-ТК72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2,225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ТК72-Центральн 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0,534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ТК88Б-ТК88А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2,544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ТК88-ТК89А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34,98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ТК72А-ТК88Б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13,392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ТК89А-ТК89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7,632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Центр ТК89-ТК86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ТК89-ТК105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88,608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70-Центр 12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0,864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Центр.ТК78-ТК77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88А-88В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1982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4,77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88Б-гаражи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88А-РКЦ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0,57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88 -ТК88В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11,13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Северная ТК91А-ТК117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СевернаяТК91А-ТК108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426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21,3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 ТК91-ТК92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1988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22,26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91-Сев.10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5,34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92-Сев.12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1,602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СевТК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92-ТК93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19,08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93-Сев 14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1,602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СевТК93-ТК94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94-Сев 16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1989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 ТК94-ТК95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СевТК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95-ТК95А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50,88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ТК95А-Сев 15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95А-Сев 13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1990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6,48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 ТК93-ТК110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56,784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Сев ТК 110-ТК112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56,784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101-Победа 2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2,314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7-Победа 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5,586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 7-Победа 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4,968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Победа ТК11А-Аптека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1980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11,286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90-ТК118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325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ТК47-ТК47А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СтроитТК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86А-ТК86Б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СтроитТК86Б-ГУС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1963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13,35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ТК116-сшкола№7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8,64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25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0,445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5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1975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133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3,458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1974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17,172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Победы 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1976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963E7E"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Спортивная 7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надземная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1987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7E" w:rsidRDefault="00CD7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0,267</w:t>
            </w:r>
          </w:p>
        </w:tc>
      </w:tr>
    </w:tbl>
    <w:p w:rsidR="00963E7E" w:rsidRDefault="00963E7E">
      <w:pPr>
        <w:spacing w:after="0" w:line="240" w:lineRule="auto"/>
        <w:ind w:firstLine="567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</w:p>
    <w:p w:rsidR="00963E7E" w:rsidRDefault="00963E7E">
      <w:pPr>
        <w:spacing w:after="0" w:line="240" w:lineRule="auto"/>
        <w:ind w:firstLine="567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</w:p>
    <w:p w:rsidR="00963E7E" w:rsidRDefault="00CD78DA">
      <w:pPr>
        <w:spacing w:after="0" w:line="240" w:lineRule="auto"/>
        <w:ind w:firstLine="567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>3. Распределение тепловой нагрузки</w:t>
      </w:r>
    </w:p>
    <w:p w:rsidR="00963E7E" w:rsidRDefault="00CD78DA">
      <w:pPr>
        <w:spacing w:after="0" w:line="240" w:lineRule="auto"/>
        <w:ind w:firstLine="567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</w:rPr>
        <w:t>между источниками тепловой энергии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t xml:space="preserve">В соответствии со Схемой (Книга 1 «Существующее положение в сфере производства, передачи и потребления тепловой энергии для целей теплоснабжения») в </w:t>
      </w:r>
      <w:r>
        <w:rPr>
          <w:rFonts w:ascii="Times New Roman" w:eastAsia="SimSun" w:hAnsi="Times New Roman" w:cs="Times New Roman"/>
          <w:kern w:val="2"/>
          <w:sz w:val="28"/>
          <w:szCs w:val="28"/>
        </w:rPr>
        <w:t>таблице 1 приведены значения потребления тепловой энергии при расчетных температурах наружного воздуха в зонах действия источников тепловой энергии и параметры располагаемой тепловой мощности источников.</w:t>
      </w:r>
    </w:p>
    <w:p w:rsidR="00963E7E" w:rsidRDefault="00CD78DA">
      <w:pPr>
        <w:spacing w:after="0" w:line="240" w:lineRule="auto"/>
        <w:ind w:firstLine="374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t>Перечень предполагаемых вводимых строительных площад</w:t>
      </w:r>
      <w:r>
        <w:rPr>
          <w:rFonts w:ascii="Times New Roman" w:eastAsia="SimSun" w:hAnsi="Times New Roman" w:cs="Times New Roman"/>
          <w:kern w:val="2"/>
          <w:sz w:val="28"/>
          <w:szCs w:val="28"/>
        </w:rPr>
        <w:t>ей, тепловые нагрузки по видам потребления до 31.12.2025 приведен в таблице 1.</w:t>
      </w:r>
    </w:p>
    <w:p w:rsidR="00963E7E" w:rsidRDefault="00963E7E">
      <w:pPr>
        <w:spacing w:after="0" w:line="240" w:lineRule="auto"/>
        <w:ind w:firstLine="374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ind w:firstLine="374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lastRenderedPageBreak/>
        <w:t>Таблица 1</w:t>
      </w:r>
    </w:p>
    <w:tbl>
      <w:tblPr>
        <w:tblW w:w="9719" w:type="dxa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2693"/>
        <w:gridCol w:w="1842"/>
        <w:gridCol w:w="1986"/>
        <w:gridCol w:w="1670"/>
        <w:gridCol w:w="967"/>
      </w:tblGrid>
      <w:tr w:rsidR="00963E7E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№№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Наименование источника тепловой энергии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Установленная тепловая мощность, Гкал/час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Расчетная присоединенная тепловая нагрузка (при средней нагрузке ГВС) Гкал/час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Пр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едполагаемая к присоединению тепловая нагрузка до 31.12.2025 Гкал/час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Дефицит (-)</w:t>
            </w:r>
          </w:p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Избыток (+)</w:t>
            </w:r>
          </w:p>
        </w:tc>
      </w:tr>
      <w:tr w:rsidR="00963E7E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963E7E">
        <w:trPr>
          <w:trHeight w:val="535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963E7E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Центральная</w:t>
            </w:r>
          </w:p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котельная</w:t>
            </w:r>
          </w:p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. Приморский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51,2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50,561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963E7E">
        <w:trPr>
          <w:trHeight w:val="517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963E7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Центральная</w:t>
            </w:r>
          </w:p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котельная</w:t>
            </w:r>
          </w:p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. Рыбачий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56,0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37,166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18,779</w:t>
            </w:r>
          </w:p>
        </w:tc>
      </w:tr>
      <w:tr w:rsidR="00963E7E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963E7E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Автономная</w:t>
            </w:r>
          </w:p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котельная пос.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Сельдевая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0,7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0,631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963E7E">
        <w:trPr>
          <w:trHeight w:val="439"/>
          <w:jc w:val="center"/>
        </w:trPr>
        <w:tc>
          <w:tcPr>
            <w:tcW w:w="3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107,9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88,359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18,779</w:t>
            </w:r>
          </w:p>
        </w:tc>
      </w:tr>
    </w:tbl>
    <w:p w:rsidR="00963E7E" w:rsidRDefault="00963E7E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ind w:firstLine="374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Распределение тепловых нагрузок между источниками тепловой энергии по данным теплоснабжения на период до 31.12.2025 приведено в таблице 2.</w:t>
      </w:r>
    </w:p>
    <w:p w:rsidR="00963E7E" w:rsidRDefault="00963E7E">
      <w:pPr>
        <w:tabs>
          <w:tab w:val="left" w:pos="9003"/>
        </w:tabs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tabs>
          <w:tab w:val="left" w:pos="9003"/>
        </w:tabs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Таблица 2</w:t>
      </w:r>
    </w:p>
    <w:tbl>
      <w:tblPr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2695"/>
        <w:gridCol w:w="1700"/>
        <w:gridCol w:w="1275"/>
        <w:gridCol w:w="1247"/>
        <w:gridCol w:w="1274"/>
        <w:gridCol w:w="1137"/>
      </w:tblGrid>
      <w:tr w:rsidR="00963E7E">
        <w:trPr>
          <w:trHeight w:val="1641"/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Наименование источника тепла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района проекта планировки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Установленная тепловая мощность, Гкал/час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Расчетная присоединенная тепловая нагрузка, Гкал/час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Предполагаемый прирост тепловой нагрузки до 31.12.25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Переключаемая тепловая нагрузка до 31.12.25</w:t>
            </w:r>
          </w:p>
        </w:tc>
      </w:tr>
      <w:tr w:rsidR="00963E7E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963E7E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Центральная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котельная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 Приморский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 Приморский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51,2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50,561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963E7E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963E7E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Центральная котельная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 Рыбачий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 Рыбачий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56,0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37,166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963E7E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Автономная котельная пос. Сельдевая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пос. Сельдевая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0,7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0,631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963E7E">
        <w:trPr>
          <w:trHeight w:val="494"/>
          <w:jc w:val="center"/>
        </w:trPr>
        <w:tc>
          <w:tcPr>
            <w:tcW w:w="49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107,9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88,359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</w:tr>
    </w:tbl>
    <w:p w:rsidR="00963E7E" w:rsidRDefault="00963E7E">
      <w:pPr>
        <w:spacing w:after="0" w:line="240" w:lineRule="auto"/>
        <w:ind w:firstLine="374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 xml:space="preserve">4. Изменение тепловых нагрузок в </w:t>
      </w: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каждой зоне действия</w:t>
      </w: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источников тепловой энергии</w:t>
      </w:r>
    </w:p>
    <w:p w:rsidR="00963E7E" w:rsidRDefault="00CD78DA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Изменения тепловых нагрузок в каждой зоне действия источников тепловой энергии на период до 31.12.2025 г. приведены в таблице 3.</w:t>
      </w: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Таблица 3</w:t>
      </w:r>
    </w:p>
    <w:tbl>
      <w:tblPr>
        <w:tblW w:w="9881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1699"/>
        <w:gridCol w:w="1702"/>
        <w:gridCol w:w="1699"/>
        <w:gridCol w:w="1558"/>
        <w:gridCol w:w="1702"/>
        <w:gridCol w:w="953"/>
      </w:tblGrid>
      <w:tr w:rsidR="00963E7E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Наименование источника тепловой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lastRenderedPageBreak/>
              <w:t>энергии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lastRenderedPageBreak/>
              <w:t>Зона действия источни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ка тепловой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lastRenderedPageBreak/>
              <w:t>энергии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lastRenderedPageBreak/>
              <w:t xml:space="preserve">Прирост тепловых нагрузок по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lastRenderedPageBreak/>
              <w:t>утвержденной Схеме с 2014 г. по 31.12.2025 г., Гкал/ч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lastRenderedPageBreak/>
              <w:t xml:space="preserve">Прирост тепловых нагрузок по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lastRenderedPageBreak/>
              <w:t>актуализации Схемы до 31.12.2025 г., Гкал/ч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lastRenderedPageBreak/>
              <w:t xml:space="preserve">Прирост тепловых нагрузок за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lastRenderedPageBreak/>
              <w:t xml:space="preserve">счет переключения до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br/>
              <w:t>31.12.2025 г., Гкал/ч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lastRenderedPageBreak/>
              <w:t>Изменения теплов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lastRenderedPageBreak/>
              <w:t>ых нагрузок, Гкал/ч</w:t>
            </w:r>
          </w:p>
        </w:tc>
      </w:tr>
      <w:tr w:rsidR="00963E7E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963E7E">
        <w:trPr>
          <w:jc w:val="center"/>
        </w:trPr>
        <w:tc>
          <w:tcPr>
            <w:tcW w:w="98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1. Зоны действующих источников тепловой энергии</w:t>
            </w:r>
          </w:p>
        </w:tc>
      </w:tr>
      <w:tr w:rsidR="00963E7E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1.1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Центральная котельная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. Приморский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жилой район Приморский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2,34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2,34</w:t>
            </w:r>
          </w:p>
        </w:tc>
      </w:tr>
      <w:tr w:rsidR="00963E7E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1.2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Центральная котельная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. Рыбачий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жилой район Рыбачий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1,64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1,64</w:t>
            </w:r>
          </w:p>
        </w:tc>
      </w:tr>
      <w:tr w:rsidR="00963E7E">
        <w:trPr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aps/>
                <w:kern w:val="2"/>
                <w:sz w:val="24"/>
                <w:szCs w:val="24"/>
              </w:rPr>
              <w:t>1.3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Автономная котельная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п. Сельдевая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963E7E">
        <w:trPr>
          <w:trHeight w:val="481"/>
          <w:jc w:val="center"/>
        </w:trPr>
        <w:tc>
          <w:tcPr>
            <w:tcW w:w="39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  <w:t>3,980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  <w:t>3,980</w:t>
            </w:r>
          </w:p>
        </w:tc>
      </w:tr>
    </w:tbl>
    <w:p w:rsidR="00963E7E" w:rsidRDefault="00963E7E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Баланс тепловых нагрузок по источникам тепловой энергии приведен в таблице 4.</w:t>
      </w: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Таблица 4</w:t>
      </w:r>
    </w:p>
    <w:tbl>
      <w:tblPr>
        <w:tblW w:w="9765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567"/>
        <w:gridCol w:w="1842"/>
        <w:gridCol w:w="1388"/>
        <w:gridCol w:w="1559"/>
        <w:gridCol w:w="1700"/>
        <w:gridCol w:w="1700"/>
        <w:gridCol w:w="1009"/>
      </w:tblGrid>
      <w:tr w:rsidR="00963E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Наименование источника тепловой энергии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Установленная тепловая мощность, Гкал/ч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Расчетная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 присоединенная тепловая нагрузка на 2014 год, Гкал/ч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Прирост тепловых нагрузок в соответствии с табл. 2, Гкал/ч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Предполагаемая общая тепловая нагрузка потребителей в 2025 году, Гкал/ч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Избыток (+)</w:t>
            </w:r>
          </w:p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Дефицит</w:t>
            </w:r>
          </w:p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(-)</w:t>
            </w:r>
          </w:p>
        </w:tc>
      </w:tr>
      <w:tr w:rsidR="00963E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963E7E">
        <w:trPr>
          <w:trHeight w:val="1106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Центральная котельная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Приморский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43,489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50,561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963E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Центральная котельная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. Рыбачий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37,607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37,166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18,779</w:t>
            </w:r>
          </w:p>
        </w:tc>
      </w:tr>
      <w:tr w:rsidR="00963E7E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Автономная котельная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0,7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0,631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0,631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963E7E">
        <w:tc>
          <w:tcPr>
            <w:tcW w:w="2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Итого по строящимся источникам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4045"/>
              </w:tabs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963E7E">
        <w:trPr>
          <w:trHeight w:val="460"/>
        </w:trPr>
        <w:tc>
          <w:tcPr>
            <w:tcW w:w="2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107,9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81,727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88,359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18,779</w:t>
            </w:r>
          </w:p>
        </w:tc>
      </w:tr>
    </w:tbl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ind w:firstLine="708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Выработка тепловой энергии по 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годам приведена в таблице 5.</w:t>
      </w: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Таблица 5</w:t>
      </w:r>
    </w:p>
    <w:tbl>
      <w:tblPr>
        <w:tblW w:w="5000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753"/>
        <w:gridCol w:w="2739"/>
        <w:gridCol w:w="1032"/>
        <w:gridCol w:w="1065"/>
        <w:gridCol w:w="1067"/>
        <w:gridCol w:w="1065"/>
        <w:gridCol w:w="1068"/>
        <w:gridCol w:w="1065"/>
      </w:tblGrid>
      <w:tr w:rsidR="00963E7E"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</w:t>
            </w:r>
          </w:p>
        </w:tc>
        <w:tc>
          <w:tcPr>
            <w:tcW w:w="2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источника</w:t>
            </w:r>
          </w:p>
        </w:tc>
        <w:tc>
          <w:tcPr>
            <w:tcW w:w="62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Выработка тепловой энергии,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</w:rPr>
              <w:t>тыс.Гкал</w:t>
            </w:r>
            <w:proofErr w:type="spellEnd"/>
            <w:proofErr w:type="gramEnd"/>
          </w:p>
        </w:tc>
      </w:tr>
      <w:tr w:rsidR="00963E7E"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2019 год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2020 год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2021 год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2022 год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2023 год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2024 год</w:t>
            </w:r>
          </w:p>
        </w:tc>
      </w:tr>
      <w:tr w:rsidR="00963E7E"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Центральная котельная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 Приморский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112,108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112,474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109,135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107,632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107,493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106,247</w:t>
            </w:r>
          </w:p>
        </w:tc>
      </w:tr>
      <w:tr w:rsidR="00963E7E"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Центральная котельная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 Рыбачий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78,003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77,263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76,503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75,873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74,734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75,600</w:t>
            </w:r>
          </w:p>
        </w:tc>
      </w:tr>
      <w:tr w:rsidR="00963E7E"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2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Автономная котельная Сельдевая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1,258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1,184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0,960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0,946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0,908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kern w:val="2"/>
              </w:rPr>
              <w:t>0,977</w:t>
            </w:r>
          </w:p>
        </w:tc>
      </w:tr>
      <w:tr w:rsidR="00963E7E">
        <w:trPr>
          <w:trHeight w:val="482"/>
        </w:trPr>
        <w:tc>
          <w:tcPr>
            <w:tcW w:w="3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</w:rPr>
              <w:t>192,6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</w:rPr>
              <w:t>191,369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</w:rPr>
              <w:t>190,921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</w:rPr>
              <w:t>186,598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</w:rPr>
              <w:t>184,451</w:t>
            </w:r>
          </w:p>
        </w:tc>
        <w:tc>
          <w:tcPr>
            <w:tcW w:w="1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tabs>
                <w:tab w:val="left" w:pos="0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</w:rPr>
              <w:t>182,824</w:t>
            </w:r>
          </w:p>
        </w:tc>
      </w:tr>
    </w:tbl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Зоны действия источников тепловой энергии на период 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до 31.12.2025 не изменяются и соответствуют зонам действия источников тепловой энергии определенными в гл.4 Книги 1 Схемы.</w:t>
      </w: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5. Мероприятия по обеспечению технической возможности подключения</w:t>
      </w: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к системам теплоснабжения объектов капитального строительства</w:t>
      </w:r>
    </w:p>
    <w:p w:rsidR="00963E7E" w:rsidRDefault="00CD78DA">
      <w:pPr>
        <w:widowControl w:val="0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4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В </w:t>
      </w:r>
      <w:r>
        <w:rPr>
          <w:rFonts w:ascii="Times New Roman" w:eastAsia="Times New Roman" w:hAnsi="Times New Roman" w:cs="Times New Roman"/>
          <w:kern w:val="2"/>
          <w:sz w:val="28"/>
          <w:szCs w:val="24"/>
        </w:rPr>
        <w:t>связи с отсутствием резерва располагаемой мощности на центральной котельной жилого района «Приморский», не представляется возможным подключение комплекса многоквартирных домов в жилом районе Приморский к системе теплоснабжения.</w:t>
      </w:r>
    </w:p>
    <w:p w:rsidR="00963E7E" w:rsidRDefault="00CD78DA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Ведутся работы по строительс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тву модульной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электрокотельной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и по подключению к инженерным сетям теплоснабжения, водоснабжения и электроснабжения жилого микрорайона «Северный-2» г. Вилючинск в 2025 году.</w:t>
      </w:r>
    </w:p>
    <w:p w:rsidR="00963E7E" w:rsidRDefault="00963E7E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6. Переключение тепловой нагрузки от котельных на источники</w:t>
      </w: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с комбинированной выр</w:t>
      </w: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аботкой тепловой и электрической энергии</w:t>
      </w:r>
    </w:p>
    <w:p w:rsidR="00963E7E" w:rsidRDefault="00CD78DA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Внесение изменений в Схему, в связи с её актуализацией на период до 31.12.2025 г. в части переключения тепловой нагрузки от котельных на источники с комбинированной выработкой тепловой и электрической энергии - не т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ребуется.</w:t>
      </w: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7. Мероприятия по переоборудованию котельных в источники</w:t>
      </w: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комбинированной выработки электрической и тепловой энергии</w:t>
      </w:r>
    </w:p>
    <w:p w:rsidR="00963E7E" w:rsidRDefault="00CD78DA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ab/>
        <w:t xml:space="preserve">Мероприятия по развитию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когенерационного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принципа выработки электрической и тепловой энергии актуализацией Схемы не рассматриваю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тся.</w:t>
      </w:r>
    </w:p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caps/>
          <w:kern w:val="2"/>
          <w:sz w:val="28"/>
          <w:szCs w:val="24"/>
          <w:shd w:val="clear" w:color="auto" w:fill="00FF00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8. Строительство и реконструкция тепловых сетей, включая их реконструкцию в связи с исчерпанием установленного и продленного ресурсов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ab/>
        <w:t>Актуализация Схемы на период до 31.12.2025 г. основывается на ранее обозначенных разделах и учитывает методику расч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ета, приведенную в Схеме. Данным разделом вносятся изменения в Книгу 7 Схемы «Предложения по строительству и реконструкции тепловых сетей и сооружений на них».</w:t>
      </w:r>
    </w:p>
    <w:p w:rsidR="00963E7E" w:rsidRDefault="00CD78DA">
      <w:pPr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ab/>
        <w:t>Предложения по новому строительству и реконструкции тепловых сетей состоят из следующих направл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ений: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lastRenderedPageBreak/>
        <w:t>- капитальный ремонт тепловых сетей, подлежащих замене в связи с исчерпанием эксплуатационного ресурса.</w:t>
      </w:r>
    </w:p>
    <w:p w:rsidR="00963E7E" w:rsidRDefault="00963E7E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  <w:shd w:val="clear" w:color="auto" w:fill="FFFF00"/>
        </w:rPr>
      </w:pPr>
    </w:p>
    <w:p w:rsidR="00963E7E" w:rsidRDefault="00963E7E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  <w:shd w:val="clear" w:color="auto" w:fill="FFFF00"/>
        </w:rPr>
      </w:pPr>
    </w:p>
    <w:p w:rsidR="00963E7E" w:rsidRDefault="00CD78DA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Капитальный ремонт тепловых сетей, подлежащих замене в связи с исчерпанием эксплуатационного ресурса до конца 2025 года, приведена в таблице 6.</w:t>
      </w: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Таблица 6</w:t>
      </w:r>
    </w:p>
    <w:tbl>
      <w:tblPr>
        <w:tblW w:w="97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91"/>
        <w:gridCol w:w="1842"/>
        <w:gridCol w:w="2318"/>
        <w:gridCol w:w="2118"/>
        <w:gridCol w:w="1552"/>
        <w:gridCol w:w="1044"/>
      </w:tblGrid>
      <w:tr w:rsidR="00963E7E"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№№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Начало участка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Конец участка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Источник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Условный диаметр Д (мм)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Длина, м</w:t>
            </w:r>
          </w:p>
        </w:tc>
      </w:tr>
      <w:tr w:rsidR="00963E7E"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6</w:t>
            </w:r>
          </w:p>
        </w:tc>
      </w:tr>
      <w:tr w:rsidR="00963E7E">
        <w:tc>
          <w:tcPr>
            <w:tcW w:w="97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bookmarkStart w:id="3" w:name="_Hlk169859795"/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 xml:space="preserve">Капитальный ремонт </w:t>
            </w:r>
            <w:bookmarkEnd w:id="3"/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ветхих инженерных сетей теплоснабжения</w:t>
            </w:r>
          </w:p>
        </w:tc>
      </w:tr>
      <w:tr w:rsidR="00963E7E">
        <w:trPr>
          <w:trHeight w:val="651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en-US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ТК-86А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 xml:space="preserve">ТК-86Б, жилой район Приморский, ул. Строительная  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 xml:space="preserve">Котельная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. Приморский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325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70</w:t>
            </w:r>
          </w:p>
        </w:tc>
      </w:tr>
      <w:tr w:rsidR="00963E7E">
        <w:trPr>
          <w:trHeight w:val="661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en-US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ТК-15А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ТК-17Б, жилой район Приморский, ул. Приморская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 xml:space="preserve">Котельная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. Приморский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89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40</w:t>
            </w:r>
          </w:p>
        </w:tc>
      </w:tr>
      <w:tr w:rsidR="00963E7E">
        <w:trPr>
          <w:trHeight w:val="661"/>
        </w:trPr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en-US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ТК-44</w:t>
            </w:r>
          </w:p>
        </w:tc>
        <w:tc>
          <w:tcPr>
            <w:tcW w:w="2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Т.А., жилой район Приморский, ул. Мира</w:t>
            </w: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 xml:space="preserve">Котельная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. Приморский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159</w:t>
            </w:r>
          </w:p>
        </w:tc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4"/>
              </w:rPr>
              <w:t>25</w:t>
            </w:r>
          </w:p>
        </w:tc>
      </w:tr>
    </w:tbl>
    <w:p w:rsidR="00963E7E" w:rsidRDefault="00963E7E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Финансовое обеспечение на период до конца 2025 года приведено в таблице 7.</w:t>
      </w:r>
    </w:p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textAlignment w:val="baseline"/>
        <w:rPr>
          <w:rFonts w:ascii="Calibri" w:eastAsia="SimSun" w:hAnsi="Calibri" w:cs="Tahoma"/>
          <w:kern w:val="2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тыс. руб.        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Таблица 7</w:t>
      </w:r>
    </w:p>
    <w:tbl>
      <w:tblPr>
        <w:tblW w:w="973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9"/>
        <w:gridCol w:w="3568"/>
        <w:gridCol w:w="2022"/>
        <w:gridCol w:w="1859"/>
        <w:gridCol w:w="1747"/>
      </w:tblGrid>
      <w:tr w:rsidR="00963E7E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Наименование проектов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Котельная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. Приморский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Котельная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. Рыбачий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Автономная котельная</w:t>
            </w:r>
          </w:p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п. Сельдевая</w:t>
            </w:r>
          </w:p>
        </w:tc>
      </w:tr>
      <w:tr w:rsidR="00963E7E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963E7E">
        <w:trPr>
          <w:trHeight w:val="199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Новое строительство объектов генерации тепловой энергии и участков тепловых сетей для обеспечения перспективных приростов тепловых нагрузок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963E7E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Реконструкция тепловых сетей, с увеличением диаметров трубопроводов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963E7E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Прокладка тепловых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сетей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963E7E"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4.</w:t>
            </w:r>
          </w:p>
        </w:tc>
        <w:tc>
          <w:tcPr>
            <w:tcW w:w="3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Капитальный ремонт тепловых сетей</w:t>
            </w:r>
          </w:p>
        </w:tc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18 140,89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1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963E7E">
        <w:trPr>
          <w:trHeight w:val="593"/>
        </w:trPr>
        <w:tc>
          <w:tcPr>
            <w:tcW w:w="41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5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caps/>
                <w:kern w:val="2"/>
                <w:sz w:val="24"/>
                <w:szCs w:val="24"/>
              </w:rPr>
              <w:t>18 140,89</w:t>
            </w:r>
          </w:p>
        </w:tc>
      </w:tr>
    </w:tbl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9. Баланс топливно-энергетических ресурсов для обеспечения</w:t>
      </w: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теплоснабжения, в том числе расходов аварийных запасов топлива</w:t>
      </w:r>
    </w:p>
    <w:p w:rsidR="00963E7E" w:rsidRDefault="00CD78DA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lastRenderedPageBreak/>
        <w:t>Актуализацией Схемы не предусматривается изменение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сценария развития системы теплоснабжения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Вилючинского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городского округа до 31.12.2025 г.</w:t>
      </w:r>
    </w:p>
    <w:p w:rsidR="00963E7E" w:rsidRDefault="00CD78DA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Основное топливо для котельных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ж.р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. Приморский и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ж.р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>. Рыбачий – мазут М100 со средней теплотворной способностью 9778 ккал/кг.</w:t>
      </w:r>
    </w:p>
    <w:p w:rsidR="00963E7E" w:rsidRDefault="00CD78D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В настоящем разделе приведены показатели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топливообеспечения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для теплоснабжения потребителей на период до конца 2025 года. В качестве показателей приведены:</w:t>
      </w:r>
    </w:p>
    <w:p w:rsidR="00963E7E" w:rsidRDefault="00CD78D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- установленные перспективные объемы выработки тепловой энергии в течение 2025 года на каждой котельной;</w:t>
      </w:r>
    </w:p>
    <w:p w:rsidR="00963E7E" w:rsidRDefault="00CD78D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- установленные объемы потребления 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топливных ресурсов (основного и аварийного видов топлива) для обеспечения выработки тепловой энергии на каждом источнике;</w:t>
      </w:r>
    </w:p>
    <w:p w:rsidR="00963E7E" w:rsidRDefault="00CD78D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- величины удельного расхода топлива на выработку тепловой энергии.</w:t>
      </w:r>
    </w:p>
    <w:p w:rsidR="00963E7E" w:rsidRDefault="00963E7E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В таблицах № 8-10 приведены показатели баланса топливно-энергетич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еских ресурсов котельных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ж.р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. Приморский,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ж.р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>. Рыбачий и автономной котельной п. Сельдевая на 2025 год.</w:t>
      </w: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8"/>
          <w:szCs w:val="24"/>
          <w:highlight w:val="yellow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Котельная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ж.р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>. Приморский, ул. Приморская, 19</w:t>
      </w: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Таблица 8</w:t>
      </w:r>
    </w:p>
    <w:tbl>
      <w:tblPr>
        <w:tblW w:w="97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3"/>
        <w:gridCol w:w="3780"/>
        <w:gridCol w:w="1744"/>
        <w:gridCol w:w="1743"/>
        <w:gridCol w:w="1515"/>
      </w:tblGrid>
      <w:tr w:rsidR="00963E7E"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Единицы</w:t>
            </w:r>
          </w:p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Примечание</w:t>
            </w:r>
          </w:p>
        </w:tc>
      </w:tr>
      <w:tr w:rsidR="00963E7E">
        <w:trPr>
          <w:trHeight w:val="69"/>
        </w:trPr>
        <w:tc>
          <w:tcPr>
            <w:tcW w:w="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Выработка тепловой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энергии (всего), в том числе:</w:t>
            </w:r>
          </w:p>
        </w:tc>
        <w:tc>
          <w:tcPr>
            <w:tcW w:w="17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106247,143</w:t>
            </w:r>
          </w:p>
        </w:tc>
        <w:tc>
          <w:tcPr>
            <w:tcW w:w="1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63E7E">
        <w:trPr>
          <w:trHeight w:val="67"/>
        </w:trPr>
        <w:tc>
          <w:tcPr>
            <w:tcW w:w="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 отпуск тепловой энергии потребителям</w:t>
            </w:r>
          </w:p>
        </w:tc>
        <w:tc>
          <w:tcPr>
            <w:tcW w:w="17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85424,211</w:t>
            </w:r>
          </w:p>
        </w:tc>
        <w:tc>
          <w:tcPr>
            <w:tcW w:w="1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</w:tr>
      <w:tr w:rsidR="00963E7E">
        <w:trPr>
          <w:trHeight w:val="67"/>
        </w:trPr>
        <w:tc>
          <w:tcPr>
            <w:tcW w:w="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 потери при передаче</w:t>
            </w:r>
          </w:p>
        </w:tc>
        <w:tc>
          <w:tcPr>
            <w:tcW w:w="17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14111,106</w:t>
            </w:r>
          </w:p>
        </w:tc>
        <w:tc>
          <w:tcPr>
            <w:tcW w:w="1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</w:tr>
      <w:tr w:rsidR="00963E7E">
        <w:trPr>
          <w:trHeight w:val="67"/>
        </w:trPr>
        <w:tc>
          <w:tcPr>
            <w:tcW w:w="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 собственные нужды</w:t>
            </w:r>
          </w:p>
        </w:tc>
        <w:tc>
          <w:tcPr>
            <w:tcW w:w="17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6711,826</w:t>
            </w:r>
          </w:p>
        </w:tc>
        <w:tc>
          <w:tcPr>
            <w:tcW w:w="1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</w:tr>
      <w:tr w:rsidR="00963E7E"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Расход основного топлива - мазут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т.у.т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18,272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63E7E"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Удельный расход топлива на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выработку тепловой энергии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кг.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у.т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/Гкал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183,165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63E7E"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КПД котельной (общий)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72,9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Котельная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ж.р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>. Рыбачий, ул. Вилкова, 5</w:t>
      </w: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Таблица 9</w:t>
      </w:r>
    </w:p>
    <w:tbl>
      <w:tblPr>
        <w:tblW w:w="97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3"/>
        <w:gridCol w:w="3780"/>
        <w:gridCol w:w="1744"/>
        <w:gridCol w:w="1743"/>
        <w:gridCol w:w="1515"/>
      </w:tblGrid>
      <w:tr w:rsidR="00963E7E"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Единицы</w:t>
            </w:r>
          </w:p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Примечание</w:t>
            </w:r>
          </w:p>
        </w:tc>
      </w:tr>
      <w:tr w:rsidR="00963E7E">
        <w:trPr>
          <w:trHeight w:val="69"/>
        </w:trPr>
        <w:tc>
          <w:tcPr>
            <w:tcW w:w="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Выработка тепловой энергии (всего), в том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числе:</w:t>
            </w:r>
          </w:p>
        </w:tc>
        <w:tc>
          <w:tcPr>
            <w:tcW w:w="17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75600,642</w:t>
            </w:r>
          </w:p>
        </w:tc>
        <w:tc>
          <w:tcPr>
            <w:tcW w:w="1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63E7E">
        <w:trPr>
          <w:trHeight w:val="67"/>
        </w:trPr>
        <w:tc>
          <w:tcPr>
            <w:tcW w:w="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 отпуск тепловой энергии потребителям</w:t>
            </w:r>
          </w:p>
        </w:tc>
        <w:tc>
          <w:tcPr>
            <w:tcW w:w="17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58165,658</w:t>
            </w:r>
          </w:p>
        </w:tc>
        <w:tc>
          <w:tcPr>
            <w:tcW w:w="1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</w:tr>
      <w:tr w:rsidR="00963E7E">
        <w:trPr>
          <w:trHeight w:val="67"/>
        </w:trPr>
        <w:tc>
          <w:tcPr>
            <w:tcW w:w="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 потери при передаче</w:t>
            </w:r>
          </w:p>
        </w:tc>
        <w:tc>
          <w:tcPr>
            <w:tcW w:w="17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10402,059</w:t>
            </w:r>
          </w:p>
        </w:tc>
        <w:tc>
          <w:tcPr>
            <w:tcW w:w="1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</w:tr>
      <w:tr w:rsidR="00963E7E">
        <w:trPr>
          <w:trHeight w:val="67"/>
        </w:trPr>
        <w:tc>
          <w:tcPr>
            <w:tcW w:w="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 собственные нужды</w:t>
            </w:r>
          </w:p>
        </w:tc>
        <w:tc>
          <w:tcPr>
            <w:tcW w:w="17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7032,925</w:t>
            </w:r>
          </w:p>
        </w:tc>
        <w:tc>
          <w:tcPr>
            <w:tcW w:w="1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</w:tr>
      <w:tr w:rsidR="00963E7E"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Расход основного топлива - мазут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т.у.т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11,868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63E7E"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Удельный расход топлива на выработку тепловой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энергии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кг.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у.т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/Гкал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172,530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63E7E"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КПД котельной (общий)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71,7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963E7E" w:rsidRDefault="00963E7E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Автономная котельная п. Сельдевая, ул. Владивостокская, 4</w:t>
      </w: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>Таблица 10</w:t>
      </w:r>
    </w:p>
    <w:tbl>
      <w:tblPr>
        <w:tblW w:w="976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3"/>
        <w:gridCol w:w="3780"/>
        <w:gridCol w:w="1744"/>
        <w:gridCol w:w="1743"/>
        <w:gridCol w:w="1515"/>
      </w:tblGrid>
      <w:tr w:rsidR="00963E7E"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Единицы</w:t>
            </w:r>
          </w:p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Количество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Примечание</w:t>
            </w:r>
          </w:p>
        </w:tc>
      </w:tr>
      <w:tr w:rsidR="00963E7E">
        <w:trPr>
          <w:trHeight w:val="69"/>
        </w:trPr>
        <w:tc>
          <w:tcPr>
            <w:tcW w:w="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Выработка тепловой энергии (всего), в том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числе:</w:t>
            </w:r>
          </w:p>
        </w:tc>
        <w:tc>
          <w:tcPr>
            <w:tcW w:w="17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976,728</w:t>
            </w:r>
          </w:p>
        </w:tc>
        <w:tc>
          <w:tcPr>
            <w:tcW w:w="15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63E7E">
        <w:trPr>
          <w:trHeight w:val="67"/>
        </w:trPr>
        <w:tc>
          <w:tcPr>
            <w:tcW w:w="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 отпуск тепловой энергии потребителям</w:t>
            </w:r>
          </w:p>
        </w:tc>
        <w:tc>
          <w:tcPr>
            <w:tcW w:w="17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819,156</w:t>
            </w:r>
          </w:p>
        </w:tc>
        <w:tc>
          <w:tcPr>
            <w:tcW w:w="1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</w:tr>
      <w:tr w:rsidR="00963E7E">
        <w:trPr>
          <w:trHeight w:val="67"/>
        </w:trPr>
        <w:tc>
          <w:tcPr>
            <w:tcW w:w="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 потери при передаче</w:t>
            </w:r>
          </w:p>
        </w:tc>
        <w:tc>
          <w:tcPr>
            <w:tcW w:w="17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157,570</w:t>
            </w:r>
          </w:p>
        </w:tc>
        <w:tc>
          <w:tcPr>
            <w:tcW w:w="1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</w:tr>
      <w:tr w:rsidR="00963E7E">
        <w:trPr>
          <w:trHeight w:val="67"/>
        </w:trPr>
        <w:tc>
          <w:tcPr>
            <w:tcW w:w="9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 собственные нужды</w:t>
            </w:r>
          </w:p>
        </w:tc>
        <w:tc>
          <w:tcPr>
            <w:tcW w:w="17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5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</w:tr>
      <w:tr w:rsidR="00963E7E"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Расход основного топлива - дизель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т.у.т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0,184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63E7E"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Удельный расход топлива на выработку тепловой энергии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кг.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у.т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/Гкал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188,054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</w:tr>
      <w:tr w:rsidR="00963E7E"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КПД котельной (общий)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87,4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</w:tr>
    </w:tbl>
    <w:p w:rsidR="00963E7E" w:rsidRDefault="00963E7E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Поставка топлива осуществляется по заключенным договорам из мазутных резервуаров ТЭЦ-2.</w:t>
      </w:r>
    </w:p>
    <w:p w:rsidR="00963E7E" w:rsidRDefault="00CD78DA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Общая поставка мазута для выработки тепловой на котельных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ж.р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. Приморский,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ж.р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. Рыбачий в ОЗП 2024-2025 гг. составляет </w:t>
      </w:r>
      <w:bookmarkStart w:id="4" w:name="_Hlk199840248"/>
      <w:r>
        <w:rPr>
          <w:rFonts w:ascii="Times New Roman" w:eastAsia="SimSun" w:hAnsi="Times New Roman" w:cs="Times New Roman"/>
          <w:kern w:val="2"/>
          <w:sz w:val="28"/>
          <w:szCs w:val="24"/>
        </w:rPr>
        <w:t>34,950</w:t>
      </w:r>
      <w:bookmarkEnd w:id="4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тыс.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т.у.т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>.</w:t>
      </w:r>
    </w:p>
    <w:p w:rsidR="00963E7E" w:rsidRDefault="00CD78DA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ab/>
        <w:t>Прогнозируемый расход топливных ресурсов на 2025 год по источникам тепловой энергии и видам топлива приведен в таблиц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е 11.</w:t>
      </w:r>
    </w:p>
    <w:p w:rsidR="00963E7E" w:rsidRDefault="00CD78DA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 </w:t>
      </w:r>
    </w:p>
    <w:p w:rsidR="00963E7E" w:rsidRDefault="00CD78DA">
      <w:pPr>
        <w:spacing w:after="0" w:line="240" w:lineRule="auto"/>
        <w:jc w:val="right"/>
        <w:textAlignment w:val="baseline"/>
        <w:rPr>
          <w:rFonts w:ascii="Calibri" w:eastAsia="SimSun" w:hAnsi="Calibri" w:cs="Tahoma"/>
          <w:kern w:val="2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тыс. </w:t>
      </w:r>
      <w:proofErr w:type="spellStart"/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>т.у.т</w:t>
      </w:r>
      <w:proofErr w:type="spellEnd"/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.                                                                                                     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</w:rPr>
        <w:t>Таблица 11</w:t>
      </w:r>
    </w:p>
    <w:tbl>
      <w:tblPr>
        <w:tblW w:w="9630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541"/>
        <w:gridCol w:w="3150"/>
        <w:gridCol w:w="1140"/>
        <w:gridCol w:w="1050"/>
        <w:gridCol w:w="1170"/>
        <w:gridCol w:w="1500"/>
        <w:gridCol w:w="1079"/>
      </w:tblGrid>
      <w:tr w:rsidR="00963E7E">
        <w:tc>
          <w:tcPr>
            <w:tcW w:w="5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1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1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Расход топлива, тыс.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т.у.т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47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в том числе</w:t>
            </w:r>
          </w:p>
        </w:tc>
      </w:tr>
      <w:tr w:rsidR="00963E7E">
        <w:tc>
          <w:tcPr>
            <w:tcW w:w="5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widowControl w:val="0"/>
              <w:textAlignment w:val="baseline"/>
              <w:rPr>
                <w:rFonts w:ascii="Calibri" w:eastAsia="SimSun" w:hAnsi="Calibri" w:cs="Tahoma"/>
                <w:kern w:val="2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уголь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газ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дизельное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мазут</w:t>
            </w:r>
          </w:p>
        </w:tc>
      </w:tr>
      <w:tr w:rsidR="00963E7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7</w:t>
            </w:r>
          </w:p>
        </w:tc>
      </w:tr>
      <w:tr w:rsidR="00963E7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Котельная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. Приморский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19,756</w:t>
            </w:r>
          </w:p>
        </w:tc>
      </w:tr>
      <w:tr w:rsidR="00963E7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Котельная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. Рыбачий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12,750</w:t>
            </w:r>
          </w:p>
        </w:tc>
      </w:tr>
      <w:tr w:rsidR="00963E7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Автономная котельная п. Сельдевая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0,182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</w:p>
        </w:tc>
      </w:tr>
      <w:tr w:rsidR="00963E7E">
        <w:tc>
          <w:tcPr>
            <w:tcW w:w="36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  <w:t>0,182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  <w:t>32,506</w:t>
            </w:r>
          </w:p>
        </w:tc>
      </w:tr>
    </w:tbl>
    <w:p w:rsidR="00963E7E" w:rsidRDefault="00CD78DA">
      <w:pPr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ab/>
      </w:r>
    </w:p>
    <w:p w:rsidR="00963E7E" w:rsidRDefault="00963E7E">
      <w:pPr>
        <w:spacing w:after="0" w:line="240" w:lineRule="auto"/>
        <w:ind w:firstLine="360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ind w:firstLine="360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10. Финансовые потребности и источники их покрытия</w:t>
      </w:r>
    </w:p>
    <w:p w:rsidR="00963E7E" w:rsidRDefault="00CD78DA">
      <w:pPr>
        <w:spacing w:after="0" w:line="240" w:lineRule="auto"/>
        <w:ind w:firstLine="754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В Книге 10 «Обоснование инвестиций в 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строительство, реконструкцию и техническое перевооружение» Схемы приведены обосновывающие предложения по развитию теплоснабжения города и подключению дополнительных потребителей и строящихся объектов. В обосновывающие материалы включены: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- нормативно-право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вая база для проведения расчетов;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lastRenderedPageBreak/>
        <w:t>- применение индекс-дефляторов;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- ставки дисконтирования.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В результате получена оценка экономической эффективности вариантов развития теплоснабжения города и определены прогнозный рост тарифов на тепловую энергию и расчеты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ценовых последствий для потребителей при реализации программ строительства, реконструкции и технического перевооружения систем теплоснабжения. Актуализацией Схемы внесены изменения по распределению подключения потребителей по зонам теплоснабжения. Основыв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аясь на расчетах и выводах, приведенных в Схеме, используя показатели, индексы-дефляторы, заложенные в Схему, в настоящем разделе приведены: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- финансовые потребности, необходимые для реализации мероприятий по развитию теплоснабжения города до 31.12.2025 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г.;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- соответствие финансовых последствий результатам и параметрам, заложенным в Схеме;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- источники покрытия инвестиций.</w:t>
      </w:r>
    </w:p>
    <w:p w:rsidR="00963E7E" w:rsidRDefault="00963E7E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10.1. Финансовые потребности для реализации мероприятий</w:t>
      </w:r>
    </w:p>
    <w:p w:rsidR="00963E7E" w:rsidRDefault="00CD78DA">
      <w:pPr>
        <w:spacing w:after="0" w:line="240" w:lineRule="auto"/>
        <w:ind w:firstLine="754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Финансовые потребности по развитию источников тепловой энергии на период до 31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.12.2025 г. включают в себя затраты на:</w:t>
      </w:r>
    </w:p>
    <w:p w:rsidR="00963E7E" w:rsidRDefault="00CD78DA">
      <w:pPr>
        <w:tabs>
          <w:tab w:val="left" w:pos="993"/>
        </w:tabs>
        <w:spacing w:after="0" w:line="240" w:lineRule="auto"/>
        <w:ind w:firstLine="754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- замена (ремонт) теплообменников ЦАТП №1,2,3 и системы автоматического регулирования и контроля (котельная «Центральная»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ж.р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>. Рыбачий);</w:t>
      </w:r>
    </w:p>
    <w:p w:rsidR="00963E7E" w:rsidRDefault="00CD78DA">
      <w:pPr>
        <w:tabs>
          <w:tab w:val="left" w:pos="993"/>
        </w:tabs>
        <w:spacing w:after="0" w:line="240" w:lineRule="auto"/>
        <w:ind w:firstLine="754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>- проектирование и ремонт здания котельной, дымовой трубы, газоходов (котельная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«Центральная»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ж.р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>. Рыбачий);</w:t>
      </w:r>
    </w:p>
    <w:p w:rsidR="00963E7E" w:rsidRDefault="00CD78DA">
      <w:pPr>
        <w:tabs>
          <w:tab w:val="left" w:pos="993"/>
        </w:tabs>
        <w:spacing w:after="0" w:line="240" w:lineRule="auto"/>
        <w:ind w:firstLine="754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- замена котла № 2 ДЕ-25-14ГМ с комплектом вспомогательного оборудования и автоматики (котельная «Центральная»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ж.р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>. Рыбачий).</w:t>
      </w:r>
    </w:p>
    <w:p w:rsidR="00963E7E" w:rsidRDefault="00963E7E">
      <w:pPr>
        <w:spacing w:after="0" w:line="240" w:lineRule="auto"/>
        <w:ind w:firstLine="187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ind w:firstLine="754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Общий размер финансовых потребностей по развитию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энергоисточников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приведен в таблице 12 и составляе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т:</w:t>
      </w: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right"/>
        <w:textAlignment w:val="baseline"/>
        <w:rPr>
          <w:rFonts w:ascii="Calibri" w:eastAsia="SimSun" w:hAnsi="Calibri" w:cs="Tahoma"/>
          <w:kern w:val="2"/>
        </w:rPr>
      </w:pPr>
      <w:r>
        <w:rPr>
          <w:rFonts w:ascii="Times New Roman" w:eastAsia="SimSun" w:hAnsi="Times New Roman" w:cs="Times New Roman"/>
          <w:kern w:val="2"/>
          <w:sz w:val="24"/>
          <w:szCs w:val="24"/>
        </w:rPr>
        <w:t xml:space="preserve">Таблица 12             </w:t>
      </w:r>
    </w:p>
    <w:tbl>
      <w:tblPr>
        <w:tblW w:w="485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653"/>
        <w:gridCol w:w="4288"/>
        <w:gridCol w:w="2310"/>
        <w:gridCol w:w="2307"/>
      </w:tblGrid>
      <w:tr w:rsidR="00963E7E">
        <w:trPr>
          <w:trHeight w:val="562"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pStyle w:val="Standard"/>
              <w:spacing w:after="0" w:line="240" w:lineRule="auto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проектов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энергоисточникам</w:t>
            </w:r>
            <w:proofErr w:type="spellEnd"/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финансовых потребностей на 2025 год, тыс. руб. без НДС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финансовых потребностей на 2026 год, тыс. руб. без НДС</w:t>
            </w:r>
          </w:p>
        </w:tc>
      </w:tr>
      <w:tr w:rsidR="00963E7E"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3E7E"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(ремонт) теплообменников ЦАТП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№1,2,3 и системы автоматического регулирования и контроля (котельная «Центральная»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Рыбачий)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3 940,771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3E7E"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ремонт 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котельной, дымовой трубы, газоходов (котельная «Центральная»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Рыбачий)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9 140,696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8 182,378</w:t>
            </w:r>
          </w:p>
        </w:tc>
      </w:tr>
      <w:tr w:rsidR="00963E7E"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котла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ДЕ-25-14ГМ с комплектом вспомогательного оборудования и автоматики (котельная «Центральная»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Рыбачий)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  <w:vAlign w:val="center"/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8 528,702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13 851,520</w:t>
            </w:r>
          </w:p>
        </w:tc>
      </w:tr>
      <w:tr w:rsidR="00963E7E">
        <w:trPr>
          <w:trHeight w:val="287"/>
        </w:trPr>
        <w:tc>
          <w:tcPr>
            <w:tcW w:w="4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21 610,169</w:t>
            </w:r>
          </w:p>
        </w:tc>
        <w:tc>
          <w:tcPr>
            <w:tcW w:w="2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" w:type="dxa"/>
              <w:right w:w="10" w:type="dxa"/>
            </w:tcMar>
          </w:tcPr>
          <w:p w:rsidR="00963E7E" w:rsidRDefault="00CD78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22 033,898</w:t>
            </w:r>
          </w:p>
        </w:tc>
      </w:tr>
    </w:tbl>
    <w:p w:rsidR="00963E7E" w:rsidRDefault="00963E7E">
      <w:pPr>
        <w:spacing w:after="0" w:line="240" w:lineRule="auto"/>
        <w:ind w:firstLine="567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ind w:firstLine="567"/>
        <w:textAlignment w:val="baseline"/>
        <w:rPr>
          <w:rFonts w:ascii="Times New Roman" w:eastAsia="SimSun" w:hAnsi="Times New Roman" w:cs="Times New Roman"/>
          <w:kern w:val="2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</w:rPr>
        <w:t>В таблице 13 приведены значения финансовых потребностей на развитие тепловых сетей на период до</w:t>
      </w:r>
      <w:r>
        <w:rPr>
          <w:rFonts w:ascii="Times New Roman" w:eastAsia="SimSun" w:hAnsi="Times New Roman" w:cs="Times New Roman"/>
          <w:kern w:val="2"/>
          <w:sz w:val="28"/>
          <w:szCs w:val="28"/>
        </w:rPr>
        <w:t xml:space="preserve"> конца 2025 года.</w:t>
      </w:r>
    </w:p>
    <w:p w:rsidR="00963E7E" w:rsidRDefault="00963E7E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Cs/>
          <w:color w:val="FF0000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</w:rPr>
        <w:t xml:space="preserve">Таблица 13                   </w:t>
      </w:r>
    </w:p>
    <w:tbl>
      <w:tblPr>
        <w:tblW w:w="9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7"/>
        <w:gridCol w:w="5723"/>
        <w:gridCol w:w="3064"/>
      </w:tblGrid>
      <w:tr w:rsidR="00963E7E">
        <w:trPr>
          <w:trHeight w:val="575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5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Наименование проектов по тепловым сетям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Размер финансовых потребностей на 2025 год, тыс. руб.</w:t>
            </w:r>
          </w:p>
        </w:tc>
      </w:tr>
      <w:tr w:rsidR="00963E7E"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963E7E">
        <w:trPr>
          <w:trHeight w:val="1172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5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Капитальный ремонт тепловых сетей без увеличения диаметров, в связи с исчерпанием ресурса (за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счет средств Краевого бюджета):</w:t>
            </w:r>
          </w:p>
          <w:p w:rsidR="00963E7E" w:rsidRDefault="00CD78DA">
            <w:pPr>
              <w:widowControl w:val="0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 xml:space="preserve">зона котельной </w:t>
            </w:r>
            <w:proofErr w:type="spellStart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ж.р</w:t>
            </w:r>
            <w:proofErr w:type="spellEnd"/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. Приморский.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963E7E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00"/>
              </w:rPr>
            </w:pPr>
          </w:p>
          <w:p w:rsidR="00963E7E" w:rsidRDefault="00963E7E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  <w:shd w:val="clear" w:color="auto" w:fill="FFFF00"/>
              </w:rPr>
            </w:pPr>
          </w:p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18 140,89</w:t>
            </w:r>
          </w:p>
        </w:tc>
      </w:tr>
      <w:tr w:rsidR="00963E7E">
        <w:trPr>
          <w:trHeight w:val="349"/>
        </w:trPr>
        <w:tc>
          <w:tcPr>
            <w:tcW w:w="64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</w:rPr>
              <w:t>ИТОГО:</w:t>
            </w:r>
          </w:p>
        </w:tc>
        <w:tc>
          <w:tcPr>
            <w:tcW w:w="3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63E7E" w:rsidRDefault="00CD78D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</w:rPr>
              <w:t>18 140,89</w:t>
            </w:r>
          </w:p>
        </w:tc>
      </w:tr>
    </w:tbl>
    <w:p w:rsidR="00963E7E" w:rsidRDefault="00963E7E">
      <w:pPr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10.2. Источники покрытия инвестиций</w:t>
      </w:r>
    </w:p>
    <w:p w:rsidR="00963E7E" w:rsidRDefault="00CD78DA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Развитие системы теплоснабжения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Вилючинского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городского округа на период до 31.12.2025 г. предусматривает, как развитие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энергоисточников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>, так и развитие тепловых сетей.</w:t>
      </w:r>
    </w:p>
    <w:p w:rsidR="00963E7E" w:rsidRDefault="00CD78DA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ab/>
      </w: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Мероприятия, обозначенные в настоящей программе, планируется осуществить в счет средств федерального бюджета, субсидий из краевого и местного бюджетов, а также средств, предусмотренных Концессионным соглашением между администрацией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Вилючинского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городского 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округа и 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br/>
        <w:t>АО «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Камчатэнергосервис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>».</w:t>
      </w:r>
    </w:p>
    <w:p w:rsidR="00963E7E" w:rsidRDefault="00963E7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</w:p>
    <w:p w:rsidR="00963E7E" w:rsidRDefault="00CD78D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4"/>
        </w:rPr>
        <w:t>11. Внесение изменений в Схему в соответствии с поступившими предложениями</w:t>
      </w:r>
    </w:p>
    <w:p w:rsidR="00963E7E" w:rsidRDefault="00CD78DA">
      <w:pPr>
        <w:spacing w:after="0" w:line="240" w:lineRule="auto"/>
        <w:ind w:firstLine="567"/>
        <w:jc w:val="both"/>
        <w:textAlignment w:val="baseline"/>
        <w:rPr>
          <w:rFonts w:ascii="Calibri" w:eastAsia="SimSun" w:hAnsi="Calibri" w:cs="Tahoma"/>
          <w:kern w:val="2"/>
        </w:rPr>
      </w:pPr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Постановлением администрации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Вилючинского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городского округа от 11.01.2016 № 2 определена единая теплоснабжающая организация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Вилючинского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городско</w:t>
      </w:r>
      <w:r>
        <w:rPr>
          <w:rFonts w:ascii="Times New Roman" w:eastAsia="SimSun" w:hAnsi="Times New Roman" w:cs="Times New Roman"/>
          <w:kern w:val="2"/>
          <w:sz w:val="28"/>
          <w:szCs w:val="24"/>
        </w:rPr>
        <w:t>го округа - АО «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Камчатэнергосервис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». Зона деятельности единой теплоснабжающей организации установлена в соответствии с границами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4"/>
        </w:rPr>
        <w:t>Вилючинского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4"/>
        </w:rPr>
        <w:t xml:space="preserve"> городского округа.</w:t>
      </w:r>
    </w:p>
    <w:p w:rsidR="00963E7E" w:rsidRDefault="00963E7E">
      <w:pPr>
        <w:shd w:val="clear" w:color="auto" w:fill="FFFFFF"/>
        <w:tabs>
          <w:tab w:val="left" w:pos="7938"/>
        </w:tabs>
        <w:spacing w:after="0" w:line="240" w:lineRule="auto"/>
        <w:ind w:hanging="34"/>
        <w:rPr>
          <w:rFonts w:ascii="Times New Roman" w:hAnsi="Times New Roman" w:cs="Times New Roman"/>
          <w:bCs/>
          <w:spacing w:val="3"/>
          <w:sz w:val="28"/>
          <w:szCs w:val="28"/>
        </w:rPr>
      </w:pPr>
    </w:p>
    <w:p w:rsidR="00963E7E" w:rsidRDefault="00963E7E">
      <w:pPr>
        <w:spacing w:after="0" w:line="240" w:lineRule="auto"/>
        <w:rPr>
          <w:rFonts w:ascii="Times New Roman" w:hAnsi="Times New Roman" w:cs="Times New Roman"/>
        </w:rPr>
      </w:pPr>
    </w:p>
    <w:sectPr w:rsidR="00963E7E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20206030504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6B4"/>
    <w:multiLevelType w:val="multilevel"/>
    <w:tmpl w:val="4E104F50"/>
    <w:lvl w:ilvl="0">
      <w:start w:val="2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02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0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2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8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16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88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607" w:hanging="2160"/>
      </w:pPr>
    </w:lvl>
  </w:abstractNum>
  <w:abstractNum w:abstractNumId="1" w15:restartNumberingAfterBreak="0">
    <w:nsid w:val="08A83E34"/>
    <w:multiLevelType w:val="multilevel"/>
    <w:tmpl w:val="1F4272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563790"/>
    <w:multiLevelType w:val="multilevel"/>
    <w:tmpl w:val="B5DC31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072D42"/>
    <w:multiLevelType w:val="multilevel"/>
    <w:tmpl w:val="161EFB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420AB3"/>
    <w:multiLevelType w:val="multilevel"/>
    <w:tmpl w:val="6B4A654A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5" w15:restartNumberingAfterBreak="0">
    <w:nsid w:val="55DE6745"/>
    <w:multiLevelType w:val="multilevel"/>
    <w:tmpl w:val="231414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5297EA1"/>
    <w:multiLevelType w:val="multilevel"/>
    <w:tmpl w:val="88EE7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2"/>
  </w:num>
  <w:num w:numId="1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7E"/>
    <w:rsid w:val="00963E7E"/>
    <w:rsid w:val="00CD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05D1"/>
  <w15:docId w15:val="{8D315698-0A34-45D8-AF78-FACF680D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B06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B0678"/>
    <w:rPr>
      <w:rFonts w:ascii="Times New Roman" w:eastAsia="Times New Roman" w:hAnsi="Times New Roman" w:cs="Times New Roman"/>
      <w:b/>
      <w:spacing w:val="200"/>
      <w:sz w:val="40"/>
      <w:szCs w:val="20"/>
    </w:rPr>
  </w:style>
  <w:style w:type="character" w:customStyle="1" w:styleId="a3">
    <w:name w:val="Основной текст Знак"/>
    <w:basedOn w:val="a0"/>
    <w:link w:val="a4"/>
    <w:qFormat/>
    <w:rsid w:val="005B0678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Цветовое выделение"/>
    <w:qFormat/>
    <w:rsid w:val="00760CF6"/>
    <w:rPr>
      <w:b/>
      <w:color w:val="26282F"/>
    </w:rPr>
  </w:style>
  <w:style w:type="character" w:customStyle="1" w:styleId="a6">
    <w:name w:val="Текст выноски Знак"/>
    <w:basedOn w:val="a0"/>
    <w:link w:val="a7"/>
    <w:qFormat/>
    <w:rsid w:val="00631E1C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9"/>
    <w:qFormat/>
    <w:rsid w:val="00160389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a">
    <w:name w:val="Верхний колонтитул Знак"/>
    <w:basedOn w:val="a0"/>
    <w:link w:val="ab"/>
    <w:qFormat/>
    <w:rsid w:val="00160389"/>
    <w:rPr>
      <w:rFonts w:ascii="Times New Roman" w:eastAsia="Times New Roman" w:hAnsi="Times New Roman" w:cs="Times New Roman"/>
      <w:kern w:val="2"/>
      <w:sz w:val="24"/>
      <w:szCs w:val="24"/>
    </w:rPr>
  </w:style>
  <w:style w:type="character" w:styleId="ac">
    <w:name w:val="page number"/>
    <w:basedOn w:val="a0"/>
    <w:qFormat/>
    <w:rsid w:val="00160389"/>
  </w:style>
  <w:style w:type="character" w:customStyle="1" w:styleId="fontstyle01">
    <w:name w:val="fontstyle01"/>
    <w:basedOn w:val="a0"/>
    <w:qFormat/>
    <w:rsid w:val="00160389"/>
    <w:rPr>
      <w:rFonts w:ascii="Arial" w:hAnsi="Arial" w:cs="Arial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qFormat/>
    <w:rsid w:val="00160389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qFormat/>
    <w:rsid w:val="00160389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paragraph" w:customStyle="1" w:styleId="11">
    <w:name w:val="Заголовок1"/>
    <w:basedOn w:val="Standard"/>
    <w:next w:val="Textbody"/>
    <w:qFormat/>
    <w:rsid w:val="001603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3"/>
    <w:rsid w:val="005B0678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"/>
    <w:basedOn w:val="Textbody"/>
    <w:rsid w:val="00160389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Standard"/>
    <w:qFormat/>
    <w:rsid w:val="00160389"/>
    <w:pPr>
      <w:suppressLineNumbers/>
    </w:pPr>
    <w:rPr>
      <w:rFonts w:cs="Mangal"/>
    </w:rPr>
  </w:style>
  <w:style w:type="paragraph" w:customStyle="1" w:styleId="af">
    <w:name w:val="распоряжение"/>
    <w:basedOn w:val="a"/>
    <w:next w:val="a4"/>
    <w:qFormat/>
    <w:rsid w:val="005B067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rsid w:val="005B0678"/>
    <w:pPr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qFormat/>
    <w:rsid w:val="005B0678"/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6"/>
    <w:unhideWhenUsed/>
    <w:qFormat/>
    <w:rsid w:val="00631E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60389"/>
    <w:pPr>
      <w:spacing w:after="200" w:line="276" w:lineRule="auto"/>
      <w:textAlignment w:val="baseline"/>
    </w:pPr>
    <w:rPr>
      <w:rFonts w:eastAsia="SimSun" w:cs="Tahoma"/>
      <w:kern w:val="2"/>
    </w:rPr>
  </w:style>
  <w:style w:type="paragraph" w:customStyle="1" w:styleId="Textbody">
    <w:name w:val="Text body"/>
    <w:basedOn w:val="Standard"/>
    <w:qFormat/>
    <w:rsid w:val="00160389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ption1">
    <w:name w:val="caption1"/>
    <w:basedOn w:val="Standard"/>
    <w:qFormat/>
    <w:rsid w:val="001603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0">
    <w:name w:val="Колонтитул"/>
    <w:basedOn w:val="a"/>
    <w:qFormat/>
  </w:style>
  <w:style w:type="paragraph" w:styleId="a9">
    <w:name w:val="footer"/>
    <w:basedOn w:val="Standard"/>
    <w:link w:val="a8"/>
    <w:rsid w:val="00160389"/>
    <w:pPr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Standard"/>
    <w:qFormat/>
    <w:rsid w:val="00160389"/>
    <w:pPr>
      <w:ind w:left="720"/>
    </w:pPr>
    <w:rPr>
      <w:rFonts w:eastAsia="Times New Roman" w:cs="Times New Roman"/>
      <w:lang w:eastAsia="en-US"/>
    </w:rPr>
  </w:style>
  <w:style w:type="paragraph" w:styleId="ab">
    <w:name w:val="header"/>
    <w:basedOn w:val="Standard"/>
    <w:link w:val="aa"/>
    <w:rsid w:val="00160389"/>
    <w:pPr>
      <w:suppressLineNumbers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qFormat/>
    <w:rsid w:val="00160389"/>
    <w:pPr>
      <w:widowControl w:val="0"/>
      <w:ind w:right="19772"/>
      <w:textAlignment w:val="baseline"/>
    </w:pPr>
    <w:rPr>
      <w:rFonts w:ascii="Courier New" w:eastAsia="Times New Roman" w:hAnsi="Courier New" w:cs="Courier New"/>
      <w:kern w:val="2"/>
      <w:sz w:val="20"/>
      <w:szCs w:val="20"/>
    </w:rPr>
  </w:style>
  <w:style w:type="paragraph" w:styleId="af1">
    <w:name w:val="List Paragraph"/>
    <w:basedOn w:val="Standard"/>
    <w:qFormat/>
    <w:rsid w:val="0016038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qFormat/>
    <w:rsid w:val="00160389"/>
    <w:pPr>
      <w:textAlignment w:val="baseline"/>
    </w:pPr>
    <w:rPr>
      <w:rFonts w:eastAsia="SimSun" w:cs="Tahoma"/>
      <w:kern w:val="2"/>
    </w:rPr>
  </w:style>
  <w:style w:type="paragraph" w:customStyle="1" w:styleId="af3">
    <w:name w:val="Содержимое таблицы"/>
    <w:basedOn w:val="Standard"/>
    <w:qFormat/>
    <w:rsid w:val="00160389"/>
    <w:pPr>
      <w:suppressLineNumbers/>
    </w:pPr>
  </w:style>
  <w:style w:type="numbering" w:customStyle="1" w:styleId="14">
    <w:name w:val="Нет списка1"/>
    <w:uiPriority w:val="99"/>
    <w:semiHidden/>
    <w:unhideWhenUsed/>
    <w:qFormat/>
    <w:rsid w:val="0016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20</Pages>
  <Words>5681</Words>
  <Characters>32388</Characters>
  <Application>Microsoft Office Word</Application>
  <DocSecurity>0</DocSecurity>
  <Lines>269</Lines>
  <Paragraphs>75</Paragraphs>
  <ScaleCrop>false</ScaleCrop>
  <Company/>
  <LinksUpToDate>false</LinksUpToDate>
  <CharactersWithSpaces>37994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Константин</cp:lastModifiedBy>
  <cp:revision>6</cp:revision>
  <cp:lastPrinted>2025-07-16T16:52:00Z</cp:lastPrinted>
  <dcterms:created xsi:type="dcterms:W3CDTF">2025-06-25T03:24:00Z</dcterms:created>
  <dcterms:modified xsi:type="dcterms:W3CDTF">2025-07-20T22:10:00Z</dcterms:modified>
  <dc:language>ru-RU</dc:language>
</cp:coreProperties>
</file>