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876"/>
      </w:tblGrid>
      <w:tr>
        <w:trPr>
          <w:trHeight w:val="1701" w:hRule="atLeast"/>
        </w:trPr>
        <w:tc>
          <w:tcPr>
            <w:tcW w:w="4928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76" w:type="dxa"/>
            <w:tcBorders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постановлению  администрации Вилючинского городского округа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____________________ № _____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 xml:space="preserve">для организации мотоэкспедиции на Курильские острова и выезд на остров Сахалин в рамках патриотического воспитания и изучения истории «малой родины» и юбилейной годовщины высадки «Курильского десанта» общественной организацией «Камчатская лига экстремального спорта» </w:t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2025 году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Настоящий Порядок разработан в соответствии с действующим законодательством Российской Федерации, Уставом Вилючинского городского округа с целью оказания финансовой помощи для</w:t>
      </w:r>
      <w:r>
        <w:rPr>
          <w:rStyle w:val="Style14"/>
          <w:rFonts w:eastAsia="Times New Roman" w:cs="Times New Roman" w:ascii="Times New Roman" w:hAnsi="Times New Roman"/>
          <w:kern w:val="0"/>
          <w:sz w:val="28"/>
          <w:szCs w:val="28"/>
          <w:lang w:bidi="ar-SA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организации мотоэкспедиции на Курильские острова и выезд на остров Сахалин в рамках патриотического воспитания и изучения истории «малой родины» и юбилейной годовщины высадки «Курильского десанта» общественной организацией «Камчатская лига экстремального спорта» в 2025 году для выполнения наказов депутатов Законодательного собрания Камчатского края.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и порядок предоставления субсидии и возврата данной субсидии в случае нарушения условий, установленных при ее предоставлении.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молодежная политика, отдых и оздоровление детей в Вилючинском городском округе» является</w:t>
      </w:r>
      <w:r>
        <w:rPr>
          <w:rStyle w:val="Style14"/>
          <w:rFonts w:eastAsia="Times New Roman" w:cs="Times New Roman" w:ascii="Times New Roman" w:hAnsi="Times New Roman"/>
          <w:kern w:val="0"/>
          <w:sz w:val="28"/>
          <w:szCs w:val="28"/>
          <w:lang w:bidi="ar-SA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организация мотоэкспедиции на Курильские острова и выезд на остров Сахалин в рамках патриотического воспитания и изучения истории «малой родины» и юбилейной годовщины высадки «Курильского десанта» в 2025 году.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осуществляет главный распорядитель средств местного бюджета – Управление социальной политики администрации Вилючинского городского округа (далее – Управление) на безвозмездной и безвозвратной основе,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 на соответствующий финансовый год.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Получателем субсидии является общественная организация «Камчатская лига экстремального спорта» (далее – Получатель) в соответствии с Решением Думы Вилючинского городского округа от 20.12.2024 № 432/86-7 «О местном бюджете на 2025 год и на плановый период 2026 и 2027 годов».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— единый портал) (в разделе единого портала) информации о субсидии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предоставления субсидии — финансовое обеспечение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 xml:space="preserve">Направлением расходов субсидии является приобретение спортивного инвентаря и оборудования для занятий водными видами спорта.  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субсидии или об отказе в предоставлении субсидии, о чем в течение 3 (трех) рабочих дней, следующих за днем окончания рассмотрения документов Получатель субсидии информируется в письменной форме.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 установленным настоящим Порядком или непредставление (представление не в полном объеме)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счет средств бюджета Вилючинского городского округа. Размер Субсидии определен Решением Думы Вилючинского городского округа от 20.12.2024 № 432/86-7 «О местном бюджете на 2025 год и на плановый период 2026 и 2027 годов». Размер субсидии не может превышать размер утвержденных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Управлением Соглашение.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заключается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Управлением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268.1 и 269.2 </w:t>
      </w:r>
      <w:r>
        <w:rPr>
          <w:rStyle w:val="Style14"/>
          <w:rFonts w:ascii="Times New Roman" w:hAnsi="Times New Roman"/>
          <w:sz w:val="28"/>
          <w:szCs w:val="28"/>
        </w:rPr>
        <w:t>Бюджетного кодекса Российской Федерации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под которыми понимаются количество приобретенного спортивного инвентаря и оборудования для занятий водными видами спорта;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- показатели, необходимые для достижения результатов предоставления Субсидии: наличие спортивного инвентаря и оборудования для занятия водными видами спорта;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 достижении согласия по новым условиям.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расчетный счет Получателя субсидии, открытый в кредитной организации, в пределах доведенных объемов финансирования в соответствии с условиями и в срок, определенные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Получатель субсидии после зачисления субсидии на расчетный счет обязан в срок, установленный Соглашением, представить в Управление сведения о достигнутых результатах предоставления субсидии, под которыми понимаются количество приобретенных спортивного инвентаря и оборудования для занятий водными видами спорта, заверенные копии платежных поручений, договоров, актов выполненных работ и прочих документов (при необходимости) подтверждающих расходование средств по направлению расходов, указанных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2.13. Требования, которым должен соответствовать Получатель субсидии на первое число месяца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определенный п. 3 ст. 47 Налогового кодекса задолженность по уплате налогов, сборов и страховых взносов в бюджеты бюджетной системы  Российской Федерации, а так 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 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дисквалифицированном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самостоятельно получает сведения о Получателе субсидии из единого государственного реестра юридических лиц, осуществляет сверку информации на официальном сайте Федеральной налоговой службы на странице «Поиск сведений в реестре дисквалифицированных лиц», на официальном сайте Росфинмониторинга на странице «Перечень организаций и физических лиц, в отношении которых имеются сведения об их причастности к экстремистской деятельности или терроризму», запрашивает у главных распорядителей бюджетных средств Вилючинского городского округа о просроченной задолженности перед бюджетом Вилючинского городского округа в срок до 30 дней.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Получатель субсидии предоставляет в Управление: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отчет об осуществлении расходов, источником финансового обеспечения которых является субсидия по форме,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2025 года;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- отчет о достигнутых значениях результата предоставления субсидии осуществляется по форме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позднее 1 декабря 2025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 xml:space="preserve">3.2. Управление осуществляет проверку отчетов, устанавливает полноту и достоверность сведений, содержащихся в отчетах, прилагаемых к ним документах, материалах и информации в течение 10 рабочих дней </w:t>
      </w:r>
      <w:r>
        <w:rPr>
          <w:rStyle w:val="Style14"/>
          <w:rFonts w:cs="Times New Roman" w:ascii="Times New Roman" w:hAnsi="Times New Roman"/>
          <w:sz w:val="28"/>
          <w:szCs w:val="28"/>
          <w:shd w:fill="FFFFFF" w:val="clear"/>
        </w:rPr>
        <w:t xml:space="preserve">со дня получения </w:t>
      </w:r>
      <w:r>
        <w:rPr>
          <w:rStyle w:val="Style14"/>
          <w:rFonts w:ascii="Times New Roman" w:hAnsi="Times New Roman"/>
          <w:sz w:val="28"/>
          <w:szCs w:val="28"/>
        </w:rPr>
        <w:t>отчетов.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не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Управления (уполномоченного им лица) по следующим основаниям: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1) непредставление (представление не в полном объеме) отчетов, указанных в пункте 3.1 настоящего Порядка;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2) некорректное заполнение (не заполнение) Получателем субсидии всех обязательных для заполнения граф, предусмотренных в отчетах;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3) предоставление отчетов с нарушением сроков, указанных в пункте 3.1</w:t>
      </w:r>
      <w:r>
        <w:rPr>
          <w:rStyle w:val="Style14"/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  <w:shd w:fill="FFFFFF" w:val="clear"/>
        </w:rPr>
        <w:t xml:space="preserve">Управление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осуществляют проверку в соответствии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о 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          268.1.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В соответствии со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269.2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Бюджетного кодекса Российской Федерации проверку осуществляет уполномоченный сотрудник администрации Вилючинского городского округа</w:t>
      </w:r>
      <w:r>
        <w:rPr>
          <w:rStyle w:val="Style14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 нарушения условий предоставления субсидии, недостижения значений результата  или ее нецелевого использования субсидия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использованный в текущем финансовом году, подлежит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Получателем субсидии пунктов 4.2 и 4.3 раздела 4 настоящего Порядка взыскание средств субсидии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отражающих факт завершения соответствующего мероприятия по получению результата предоставления субсидии.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3"/>
        <w:gridCol w:w="5149"/>
      </w:tblGrid>
      <w:tr>
        <w:trPr/>
        <w:tc>
          <w:tcPr>
            <w:tcW w:w="4483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149" w:type="dxa"/>
            <w:tcBorders/>
          </w:tcPr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</w:p>
          <w:p>
            <w:pPr>
              <w:pStyle w:val="Normal"/>
              <w:rPr/>
            </w:pP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>к Порядку 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 бюджета Вилючинского городского округа для приобретения спортивного инвентаря и оборудования для занятий водными видами спорта камчатской региональной общественной организации «Союз водных видов спорта» на 2025 год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sz w:val="26"/>
                <w:szCs w:val="26"/>
              </w:rPr>
              <w:t>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>о предоставлении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для приобретения спортивного инвентаря и оборудования для занятий водными видами спорта камчатской региональной общественной организации «Союз водных видов спорта» на 2025 год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  <w:sz w:val="26"/>
          <w:szCs w:val="26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swiss"/>
    <w:pitch w:val="variable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variable"/>
  </w:font>
  <w:font w:name="Courier New">
    <w:charset w:val="01"/>
    <w:family w:val="modern"/>
    <w:pitch w:val="fixed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86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paragraph" w:styleId="Style16">
    <w:name w:val="Обычный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7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Style18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1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2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bidi="ar-SA" w:val="ru-RU" w:eastAsia="zh-CN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bidi="ar-SA" w:val="ru-RU" w:eastAsia="zh-CN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bidi="ar-SA" w:val="ru-RU" w:eastAsia="zh-CN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3">
    <w:name w:val="Схема документа"/>
    <w:basedOn w:val="Normal"/>
    <w:qFormat/>
    <w:pPr>
      <w:shd w:fill="000080" w:val="clear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552</TotalTime>
  <Application>LibreOffice/7.6.7.2$Linux_X86_64 LibreOffice_project/60$Build-2</Application>
  <AppVersion>15.0000</AppVersion>
  <Pages>8</Pages>
  <Words>2188</Words>
  <Characters>16520</Characters>
  <CharactersWithSpaces>18650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>migach73@mail.ru</dc:creator>
  <dc:description/>
  <dc:language>ru-RU</dc:language>
  <cp:lastModifiedBy/>
  <cp:lastPrinted>2025-04-29T09:54:12Z</cp:lastPrinted>
  <dcterms:modified xsi:type="dcterms:W3CDTF">2025-04-29T09:56:27Z</dcterms:modified>
  <cp:revision>2</cp:revision>
  <dc:subject/>
  <dc:title/>
</cp:coreProperties>
</file>