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9.xml" ContentType="application/vnd.openxmlformats-officedocument.wordprocessingml.header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header12.xml" ContentType="application/vnd.openxmlformats-officedocument.wordprocessingml.header+xml"/>
  <Override PartName="/word/styles.xml" ContentType="application/vnd.openxmlformats-officedocument.wordprocessingml.styles+xml"/>
  <Override PartName="/word/header11.xml" ContentType="application/vnd.openxmlformats-officedocument.wordprocessingml.header+xml"/>
  <Override PartName="/word/media/image1.jpeg" ContentType="image/jpeg"/>
  <Override PartName="/word/media/image2.png" ContentType="image/png"/>
  <Override PartName="/word/header5.xml" ContentType="application/vnd.openxmlformats-officedocument.wordprocessingml.header+xml"/>
  <Override PartName="/word/header10.xml" ContentType="application/vnd.openxmlformats-officedocument.wordprocessingml.header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  <w:lang w:val="en-US"/>
        </w:rPr>
      </w:pPr>
      <w:r>
        <w:rPr/>
        <w:drawing>
          <wp:inline distT="0" distB="0" distL="0" distR="0">
            <wp:extent cx="504190" cy="635000"/>
            <wp:effectExtent l="0" t="0" r="0" b="0"/>
            <wp:docPr id="1" name="Drawing 2" descr="Герб Вилючин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2" descr="Герб Вилючинска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</w:p>
    <w:p>
      <w:pPr>
        <w:pStyle w:val="Normal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ПОСТАНОВЛЕНИЕ</w:t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tbl>
      <w:tblPr>
        <w:tblStyle w:val="aa"/>
        <w:tblW w:w="8789" w:type="dxa"/>
        <w:jc w:val="left"/>
        <w:tblInd w:w="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15"/>
        <w:gridCol w:w="4573"/>
      </w:tblGrid>
      <w:tr>
        <w:trPr/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both"/>
              <w:rPr>
                <w:sz w:val="28"/>
                <w:szCs w:val="28"/>
                <w:lang w:val="en-US"/>
              </w:rPr>
            </w:pPr>
            <w:r>
              <w:rPr>
                <w:kern w:val="0"/>
                <w:szCs w:val="22"/>
                <w:lang w:val="ru-RU" w:eastAsia="en-US" w:bidi="ar-SA"/>
              </w:rPr>
            </w:r>
          </w:p>
        </w:tc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left="1325"/>
              <w:jc w:val="right"/>
              <w:rPr>
                <w:sz w:val="28"/>
                <w:szCs w:val="28"/>
              </w:rPr>
            </w:pPr>
            <w:r>
              <w:rPr>
                <w:kern w:val="0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ind w:firstLine="99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>
      <w:pPr>
        <w:pStyle w:val="Normal"/>
        <w:ind w:firstLine="993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г. Вилючинск </w:t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Об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утверждении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Административного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регламента</w:t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предоставлению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муниципальной услуги </w:t>
        <w:br/>
        <w:t>«</w:t>
      </w:r>
      <w:r>
        <w:rPr>
          <w:b/>
          <w:sz w:val="28"/>
          <w:szCs w:val="28"/>
        </w:rPr>
        <w:t>Признание помещения жилым помещением, жилого помещения непригодным для проживания, многоквартирного дома аварийным и подлежащим к сносу или реконструкции»</w:t>
      </w:r>
    </w:p>
    <w:p>
      <w:pPr>
        <w:pStyle w:val="Normal"/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02.05.2006 № 59-ФЗ «О порядке рассмотрения обращений граждан Российской Федерации», Федеральным законом от 27.07.2010 № 210-ФЗ «Об организации предоставления государственных и муниципальных услуг»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Утвердить прилагаемый Административный </w:t>
      </w:r>
      <w:hyperlink r:id="rId3">
        <w:r>
          <w:rPr>
            <w:rStyle w:val="ListLabel334"/>
            <w:sz w:val="28"/>
            <w:szCs w:val="28"/>
            <w:lang w:eastAsia="ru-RU"/>
          </w:rPr>
          <w:t>регламент</w:t>
        </w:r>
      </w:hyperlink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sz w:val="28"/>
          <w:szCs w:val="28"/>
          <w:lang w:eastAsia="ru-RU"/>
        </w:rPr>
        <w:t xml:space="preserve"> по предоставлению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lang w:eastAsia="ru-RU"/>
        </w:rPr>
        <w:t xml:space="preserve"> услуги «</w:t>
      </w:r>
      <w:r>
        <w:rPr>
          <w:sz w:val="28"/>
          <w:szCs w:val="28"/>
        </w:rPr>
        <w:t>Признание помещения жилым помещением, жилого помещения непригодным для проживания, многоквартирного дома аварийным и подлежащим к сносу или реконструкции».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Признать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утратившим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силу</w:t>
      </w:r>
      <w:r>
        <w:rPr>
          <w:sz w:val="28"/>
          <w:szCs w:val="28"/>
          <w:lang w:val="en-US"/>
        </w:rPr>
        <w:t xml:space="preserve">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от 08.02.2021 г. № 90 «Об утверждении Административного регламента по предоставлению администрацией Вилючинского городского округа муниципальной услуги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или жилого дома садовым домом».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Настоящее постановление вступает в силу после дня его официального опубликования. 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«Вилючинская газета. Официальные известия Вилючинского городского округа ЗАТО г. Вилючинск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Normal"/>
        <w:keepNext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tbl>
      <w:tblPr>
        <w:tblStyle w:val="aa"/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4"/>
        <w:gridCol w:w="3826"/>
        <w:gridCol w:w="3261"/>
      </w:tblGrid>
      <w:tr>
        <w:trPr/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Глава Вилючинского городского округа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ind w:right="-114"/>
              <w:jc w:val="center"/>
              <w:rPr>
                <w:sz w:val="28"/>
                <w:szCs w:val="28"/>
              </w:rPr>
            </w:pPr>
            <w:r>
              <w:rPr>
                <w:kern w:val="0"/>
                <w:lang w:val="ru-RU" w:eastAsia="en-US" w:bidi="ar-SA"/>
              </w:rPr>
              <w:drawing>
                <wp:inline distT="0" distB="0" distL="0" distR="0">
                  <wp:extent cx="2292985" cy="882650"/>
                  <wp:effectExtent l="0" t="0" r="0" b="0"/>
                  <wp:docPr id="2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ind w:right="-114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И.В.Головчак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w="11906" w:h="16838"/>
          <w:pgMar w:left="1134" w:right="567" w:gutter="0" w:header="709" w:top="766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spacing w:lineRule="auto" w:line="259" w:before="0" w:after="160"/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240" w:after="0"/>
        <w:ind w:left="6237"/>
        <w:rPr>
          <w:lang w:val="en-US"/>
        </w:rPr>
      </w:pPr>
      <w:r>
        <w:rPr>
          <w:sz w:val="28"/>
          <w:szCs w:val="28"/>
        </w:rPr>
        <w:t>Утвержден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ind w:left="7371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Административный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</w:t>
      </w:r>
    </w:p>
    <w:p>
      <w:pPr>
        <w:pStyle w:val="Normal"/>
        <w:jc w:val="center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en-US" w:eastAsia="ru-RU"/>
        </w:rPr>
        <w:br/>
      </w:r>
      <w:r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предоставлению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муниципальной услуги «</w:t>
      </w:r>
      <w:r>
        <w:rPr>
          <w:b/>
          <w:sz w:val="28"/>
          <w:szCs w:val="28"/>
        </w:rPr>
        <w:t>Признание помещения жилым помещением, жилого помещения непригодным для проживания, многоквартирного дома аварийным и подлежащим к сносу или реконструкции»</w:t>
      </w:r>
    </w:p>
    <w:p>
      <w:pPr>
        <w:pStyle w:val="Normal"/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>
        <w:rPr>
          <w:rFonts w:eastAsia="Yu Gothic Light"/>
          <w:b/>
          <w:bCs/>
          <w:sz w:val="28"/>
          <w:szCs w:val="28"/>
        </w:rPr>
        <w:t>Общие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положения</w:t>
      </w:r>
    </w:p>
    <w:p>
      <w:pPr>
        <w:pStyle w:val="Normal"/>
        <w:numPr>
          <w:ilvl w:val="0"/>
          <w:numId w:val="6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  <w:lang w:eastAsia="ru-RU"/>
        </w:rPr>
        <w:t xml:space="preserve">муниципальной </w:t>
      </w:r>
      <w:r>
        <w:rPr>
          <w:sz w:val="28"/>
          <w:szCs w:val="28"/>
          <w:lang w:eastAsia="ru-RU"/>
        </w:rPr>
        <w:t>услуги «</w:t>
      </w:r>
      <w:r>
        <w:rPr>
          <w:sz w:val="28"/>
          <w:szCs w:val="28"/>
        </w:rPr>
        <w:t>Признание помещения жилым помещением, жилого помещения непригодным для проживания, многоквартирного дома аварийным и подлежащим к сносу или реконструкции»</w:t>
      </w:r>
      <w:r>
        <w:rPr>
          <w:sz w:val="28"/>
          <w:szCs w:val="28"/>
          <w:lang w:eastAsia="ru-RU"/>
        </w:rPr>
        <w:t xml:space="preserve"> (далее – Услуга).</w:t>
      </w:r>
    </w:p>
    <w:p>
      <w:pPr>
        <w:pStyle w:val="Normal"/>
        <w:numPr>
          <w:ilvl w:val="0"/>
          <w:numId w:val="6"/>
        </w:numPr>
        <w:spacing w:before="0" w:after="160"/>
        <w:ind w:firstLine="709"/>
        <w:contextualSpacing/>
        <w:jc w:val="both"/>
        <w:rPr/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собственникам помещения, правообладателям или нанимателям (далее – заявители),</w:t>
      </w:r>
      <w:r>
        <w:rPr>
          <w:sz w:val="28"/>
          <w:szCs w:val="28"/>
          <w:lang w:eastAsia="ru-RU"/>
        </w:rPr>
        <w:t xml:space="preserve"> указанным в таблице 1 приложения № 1 к настоящему Административному регламенту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Услуга должна быть предоставлена заявителю в соответствии с вариантом предоставления </w:t>
      </w:r>
      <w:r>
        <w:rPr>
          <w:sz w:val="28"/>
          <w:szCs w:val="28"/>
          <w:lang w:eastAsia="ru-RU"/>
        </w:rPr>
        <w:t>Услуги (далее – вариант).</w:t>
      </w:r>
    </w:p>
    <w:p>
      <w:pPr>
        <w:pStyle w:val="Normal"/>
        <w:numPr>
          <w:ilvl w:val="0"/>
          <w:numId w:val="6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>
      <w:pPr>
        <w:pStyle w:val="Normal"/>
        <w:numPr>
          <w:ilvl w:val="0"/>
          <w:numId w:val="6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>
        <w:rPr>
          <w:rStyle w:val="FootnoteReference"/>
          <w:sz w:val="28"/>
          <w:szCs w:val="28"/>
          <w:lang w:eastAsia="ru-RU"/>
        </w:rPr>
        <w:footnoteReference w:id="2"/>
      </w:r>
      <w:r>
        <w:rPr>
          <w:sz w:val="28"/>
          <w:szCs w:val="28"/>
          <w:lang w:eastAsia="ru-RU"/>
        </w:rPr>
        <w:t>, осуществляемого в соответствии с настоящим Административным регламентом.</w:t>
      </w:r>
    </w:p>
    <w:p>
      <w:pPr>
        <w:pStyle w:val="Normal"/>
        <w:numPr>
          <w:ilvl w:val="0"/>
          <w:numId w:val="6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FootnoteReference"/>
          <w:sz w:val="28"/>
          <w:szCs w:val="28"/>
          <w:lang w:eastAsia="ru-RU"/>
        </w:rPr>
        <w:footnoteReference w:id="3"/>
      </w:r>
      <w:r>
        <w:rPr>
          <w:sz w:val="28"/>
          <w:szCs w:val="28"/>
          <w:lang w:eastAsia="ru-RU"/>
        </w:rPr>
        <w:t xml:space="preserve"> (далее – Единый портал)</w:t>
      </w:r>
      <w:r>
        <w:rPr>
          <w:sz w:val="28"/>
          <w:szCs w:val="28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>
        <w:rPr>
          <w:sz w:val="28"/>
          <w:szCs w:val="28"/>
          <w:lang w:eastAsia="ru-RU"/>
        </w:rPr>
        <w:t xml:space="preserve"> – Региональный портал).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>
        <w:rPr>
          <w:rFonts w:eastAsia="Yu Gothic Light"/>
          <w:b/>
          <w:bCs/>
          <w:sz w:val="28"/>
          <w:szCs w:val="28"/>
          <w:lang w:val="en-US"/>
        </w:rPr>
        <w:t>II</w:t>
      </w:r>
      <w:r>
        <w:rPr>
          <w:rFonts w:eastAsia="Yu Gothic Light"/>
          <w:b/>
          <w:bCs/>
          <w:sz w:val="28"/>
          <w:szCs w:val="28"/>
        </w:rPr>
        <w:t>. Стандарт предоставления</w:t>
      </w:r>
      <w:r>
        <w:rPr>
          <w:b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Услуги</w:t>
      </w:r>
    </w:p>
    <w:p>
      <w:pPr>
        <w:pStyle w:val="Normal"/>
        <w:keepNext w:val="true"/>
        <w:keepLines/>
        <w:numPr>
          <w:ilvl w:val="0"/>
          <w:numId w:val="0"/>
        </w:numPr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Услуги</w:t>
      </w:r>
    </w:p>
    <w:p>
      <w:pPr>
        <w:pStyle w:val="Normal"/>
        <w:numPr>
          <w:ilvl w:val="0"/>
          <w:numId w:val="6"/>
        </w:numPr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Признание помещения жилым помещением, жилого помещения непригодным для проживания, многоквартирного дома аварийным и подлежащим к сносу или реконструкции.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>
      <w:pPr>
        <w:pStyle w:val="Normal"/>
        <w:numPr>
          <w:ilvl w:val="0"/>
          <w:numId w:val="6"/>
        </w:numPr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 xml:space="preserve">Администрацией Вилючинского городского округа закрытого административно-территориального образования города Вилючинска Камчатского края </w:t>
      </w:r>
      <w:r>
        <w:rPr>
          <w:sz w:val="28"/>
          <w:szCs w:val="28"/>
          <w:lang w:val="en-US" w:eastAsia="ru-RU"/>
        </w:rPr>
        <w:t>(</w:t>
      </w:r>
      <w:r>
        <w:rPr>
          <w:sz w:val="28"/>
          <w:szCs w:val="28"/>
          <w:lang w:eastAsia="ru-RU"/>
        </w:rPr>
        <w:t>далее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  <w:lang w:val="en-US"/>
        </w:rPr>
        <w:t>Орган местного самоуправления).</w:t>
      </w:r>
    </w:p>
    <w:p>
      <w:pPr>
        <w:pStyle w:val="Normal"/>
        <w:numPr>
          <w:ilvl w:val="0"/>
          <w:numId w:val="6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Предоставление Услуги в многофункциональных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МФЦ, в которых организуется предоставление Услуги,</w:t>
      </w:r>
      <w:r>
        <w:rPr>
          <w:sz w:val="28"/>
          <w:szCs w:val="28"/>
        </w:rPr>
        <w:t xml:space="preserve"> не могут принимать</w:t>
      </w:r>
      <w:r>
        <w:rPr>
          <w:sz w:val="28"/>
          <w:szCs w:val="28"/>
          <w:lang w:eastAsia="ru-RU"/>
        </w:rPr>
        <w:t xml:space="preserve"> решение об отказе в приеме заявления о предоставлении Услуги (далее – заявление) и документов и (или) информации, необходимых для ее предоставления.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Результат предоставления Услуги</w:t>
      </w:r>
    </w:p>
    <w:p>
      <w:pPr>
        <w:pStyle w:val="Normal"/>
        <w:numPr>
          <w:ilvl w:val="0"/>
          <w:numId w:val="6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признанием помещения жилым помещением, жилого помещения непригодным для проживания и многоквартирного дома аварийным и подлежащим сносу или реконструкции результатами предоставления Услуги являются: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об отказе в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Документом, содержащим решение о предоставлении Услуги, является </w:t>
      </w:r>
      <w:r>
        <w:rPr>
          <w:sz w:val="28"/>
          <w:szCs w:val="28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 признании помещения жилым помещением, жилого помещения пригодным (непригодным) для проживания граждан, многоквартирного дома аварийным и подлежащим сносу или реконструкции».</w:t>
      </w:r>
    </w:p>
    <w:p>
      <w:pPr>
        <w:pStyle w:val="Normal"/>
        <w:numPr>
          <w:ilvl w:val="0"/>
          <w:numId w:val="6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исправлением опечаток и (или) ошибок, допущенных в результате предоставления Услуги, результатами предоставления Услуги являются: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об исправлении опечаток и (или) ошибок (документ на бумажном носителе или в форме электронного документа)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об отказе в исправлении опечаток и (или) ошибок (документ на бумажном носителе или в форме электронного документа)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8"/>
          <w:szCs w:val="28"/>
        </w:rPr>
        <w:t>Результаты предоставления Услуги могут быть получены посредством электронной почты, посредством почтовой связи, посредством Единого портала, в Органе местного самоуправления, в МФЦ.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 предоставления Услуги</w:t>
      </w:r>
    </w:p>
    <w:p>
      <w:pPr>
        <w:pStyle w:val="Normal"/>
        <w:numPr>
          <w:ilvl w:val="0"/>
          <w:numId w:val="6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Услуги составляет </w:t>
      </w:r>
      <w:r>
        <w:rPr>
          <w:sz w:val="28"/>
          <w:szCs w:val="28"/>
          <w:lang w:val="en-US" w:eastAsia="ru-RU"/>
        </w:rPr>
        <w:t xml:space="preserve">30 календарных дней </w:t>
      </w:r>
      <w:r>
        <w:rPr>
          <w:sz w:val="28"/>
          <w:szCs w:val="28"/>
          <w:lang w:eastAsia="ru-RU"/>
        </w:rPr>
        <w:t>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Услуги. 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>
        <w:rPr>
          <w:sz w:val="28"/>
          <w:szCs w:val="28"/>
          <w:lang w:val="en-US" w:eastAsia="ru-RU"/>
        </w:rPr>
        <w:t>III</w:t>
      </w:r>
      <w:r>
        <w:rPr>
          <w:sz w:val="28"/>
          <w:szCs w:val="28"/>
          <w:lang w:eastAsia="ru-RU"/>
        </w:rPr>
        <w:t xml:space="preserve"> настоящего Административного регламента.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>
      <w:pPr>
        <w:pStyle w:val="Normal"/>
        <w:numPr>
          <w:ilvl w:val="0"/>
          <w:numId w:val="6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, а также о должностных лицах, </w:t>
      </w:r>
      <w:r>
        <w:rPr>
          <w:bCs/>
          <w:sz w:val="28"/>
          <w:szCs w:val="28"/>
          <w:lang w:eastAsia="ru-RU"/>
        </w:rPr>
        <w:t>муниципальных</w:t>
      </w:r>
      <w:r>
        <w:rPr>
          <w:sz w:val="28"/>
          <w:szCs w:val="28"/>
          <w:lang w:eastAsia="ru-RU"/>
        </w:rPr>
        <w:t xml:space="preserve"> служащих, работниках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>
        <w:rPr>
          <w:sz w:val="28"/>
          <w:szCs w:val="28"/>
        </w:rPr>
        <w:t>– сеть «Интернет»),</w:t>
      </w:r>
      <w:r>
        <w:rPr>
          <w:sz w:val="28"/>
          <w:szCs w:val="28"/>
          <w:lang w:eastAsia="ru-RU"/>
        </w:rPr>
        <w:t xml:space="preserve">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перечень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оснований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для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отказа</w:t>
      </w:r>
      <w:r>
        <w:rPr>
          <w:b/>
          <w:bCs/>
          <w:sz w:val="28"/>
          <w:szCs w:val="28"/>
          <w:lang w:val="en-US" w:eastAsia="ru-RU"/>
        </w:rPr>
        <w:br/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приеме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заявления</w:t>
      </w:r>
      <w:r>
        <w:rPr>
          <w:b/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bCs/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</w:rPr>
        <w:t>Основания для приостановления предоставления Услуги 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  <w:br/>
        <w:t>при предоставлении Услуги, и способы ее взимания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Максимальный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ожидания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очереди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подаче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заявителем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sz w:val="28"/>
          <w:szCs w:val="28"/>
          <w:lang w:eastAsia="ru-RU"/>
        </w:rPr>
        <w:t>заявления</w:t>
      </w:r>
      <w:r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ожидания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очереди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15 </w:t>
      </w:r>
      <w:r>
        <w:rPr>
          <w:sz w:val="28"/>
          <w:szCs w:val="28"/>
          <w:lang w:eastAsia="ru-RU"/>
        </w:rPr>
        <w:t>минут</w:t>
      </w:r>
      <w:r>
        <w:rPr>
          <w:sz w:val="28"/>
          <w:szCs w:val="28"/>
          <w:lang w:val="en-US" w:eastAsia="ru-RU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 срок ожидания в очереди при получении результата Услуги составляет 15 минут.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регистрации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заявления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>Единый портал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единая система межведомственного электронного взаимодействия</w:t>
      </w:r>
      <w:r>
        <w:rPr>
          <w:rStyle w:val="FootnoteReference"/>
          <w:sz w:val="28"/>
          <w:szCs w:val="28"/>
          <w:lang w:eastAsia="ru-RU"/>
        </w:rPr>
        <w:footnoteReference w:id="4"/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III</w:t>
      </w:r>
      <w:r>
        <w:rPr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признанием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1: собственник помещения, правообладатель или наниматель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признание нежилого помещения жилым помещением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2: собственник помещения, правообладатель или наниматель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признание многоквартирного дома аварийным и подлежащим сносу или реконструкции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3: собственник помещения, правообладатель или наниматель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принятие решения о признании жилого помещения соответствующим (не соответствующим) установленным требованиям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4: собственник помещения, правообладатель или наниматель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помещение получило повреждения в результате чрезвычайной ситуации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5: собственник помещения, правообладатель или наниматель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признание нежилого помещения жилым помещением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6: собственник помещения, правообладатель или наниматель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признание многоквартирного дома аварийным и подлежащим сносу или реконструкции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7: собственник помещения, правообладатель или наниматель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принятие решения о признании жилого помещения соответствующим (не соответствующим) установленным требованиям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8: собственник помещения, правообладатель или наниматель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 обратился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помещение получило повреждения в результате чрезвычайной ситуации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исправлением опечаток и (или) ошибок, допущенных в результате предоставления Услуги,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9: собственник помещения, правообладатель или наниматель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10: собственник помещения, правообладатель или наниматель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представитель заявителя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Возможность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оставления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без рассмотрения не предусмотрена.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Профилирование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заявителя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Профилирование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посредством Единого портала;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в МФЦ;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в Органе местного самоуправления.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Описания вариантов, приведенные в настоящем разделе, размещаются </w:t>
      </w:r>
      <w:r>
        <w:rPr>
          <w:sz w:val="28"/>
          <w:szCs w:val="28"/>
        </w:rPr>
        <w:t>Органом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общедоступном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ознакомления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месте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30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 признании помещения жилым помещением, жилого помещения пригодным (непригодным) для проживания граждан, многоквартирного дома аварийным и подлежащим сносу или реконструкции».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электронной почты, посредством Единого портала, в МФЦ,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недвижимости, права на который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проектная документация</w:t>
      </w:r>
      <w:r>
        <w:rPr>
          <w:sz w:val="28"/>
          <w:szCs w:val="28"/>
          <w:lang w:val="en-US"/>
        </w:rPr>
        <w:t>, – проект реконструкции нежилого помещения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технический план помещения</w:t>
      </w:r>
      <w:r>
        <w:rPr>
          <w:sz w:val="28"/>
          <w:szCs w:val="28"/>
        </w:rPr>
        <w:t xml:space="preserve"> (копия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или являются недействительными на момент обращения за Услугой.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Технический паспорт»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Росреестр»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Технический план»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Росреестр»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24 часа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15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в течение установленного в уведомлении о приостановлении срока заявителем представлены недостающие документы.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соответствия помещений и многоквартирных домов установленным требованиями с целью признания помещений жилыми помещениями, жилых помещений непригодными для проживания, многоквартирных жилых домов аварийными и подлежащими сносу или реконструкции, садовых домов жилыми домами и жилых домов садовыми домами.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помещение в многоквартирном доме,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заключение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5 календарных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перевод жилого помещения в нежилое помещение осуществляется в наемном доме социального использования;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право собственности на переводимое помещение обременено правами каких-либо лиц;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перевод жилого помещения в нежилое помещение проводится в целях осуществления религиозной деятельности;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обладает правом на объект недвижимости;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30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календарного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30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 признании помещения жилым помещением, жилого помещения пригодным (непригодным) для проживания граждан, многоквартирного дома аварийным и подлежащим сносу или реконструкции».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электронной почты, посредством Единого портала, в МФЦ,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недвижимости, права на который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>
        <w:rPr>
          <w:sz w:val="28"/>
          <w:szCs w:val="28"/>
          <w:lang w:val="en-US"/>
        </w:rPr>
        <w:t>, – заключение специализированной организации, проводившей обследование многоквартирного дома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или являются недействительными на момент обращения за Услугой.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Технический паспорт»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Росреестр»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15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в течение установленного в уведомлении о приостановлении срока заявителем представлены недостающие документы.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соответствия помещений и многоквартирных домов установленным требованиями с целью признания помещений жилыми помещениями, жилых помещений непригодными для проживания, многоквартирных жилых домов аварийными и подлежащими сносу или реконструкции, садовых домов жилыми домами и жилых домов садовыми домами.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помещение в многоквартирном доме,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заключение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5 календарных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перевод жилого помещения в нежилое помещение осуществляется в наемном доме социального использования;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право собственности на переводимое помещение обременено правами каких-либо лиц;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перевод жилого помещения в нежилое помещение проводится в целях осуществления религиозной деятельности;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обладает правом на объект недвижимости;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30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календарного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30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 признании помещения жилым помещением, жилого помещения пригодным (непригодным) для проживания граждан, многоквартирного дома аварийным и подлежащим сносу или реконструкции».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электронной почты, посредством Единого портала, в МФЦ,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недвижимости, права на который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>
        <w:rPr>
          <w:sz w:val="28"/>
          <w:szCs w:val="28"/>
          <w:lang w:val="en-US"/>
        </w:rPr>
        <w:t>, – заключение специализированной организации по результатам обследования элементов ограждающих и несущих конструкций жилого помещения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сведения</w:t>
      </w:r>
      <w:r>
        <w:rPr>
          <w:sz w:val="28"/>
          <w:szCs w:val="28"/>
          <w:lang w:val="en-US"/>
        </w:rPr>
        <w:t>, – технический паспорт</w:t>
      </w:r>
      <w:r>
        <w:rPr>
          <w:sz w:val="28"/>
          <w:szCs w:val="28"/>
        </w:rPr>
        <w:t xml:space="preserve"> (копия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или являются недействительными на момент обращения за Услугой.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Технический паспорт»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Росреестр»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Технический паспорт»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Росреестр»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24 часа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заключениях (актах) соответствующих органов государственного надзора (контроля)»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государственного надзора (контроля)»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24 часа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15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в течение установленного в уведомлении о приостановлении срока заявителем представлены недостающие документы.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соответствия помещений и многоквартирных домов установленным требованиями с целью признания помещений жилыми помещениями, жилых помещений непригодными для проживания, многоквартирных жилых домов аварийными и подлежащими сносу или реконструкции, садовых домов жилыми домами и жилых домов садовыми домами.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помещение в многоквартирном доме,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заключение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5 календарных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перевод жилого помещения в нежилое помещение осуществляется в наемном доме социального использования;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право собственности на переводимое помещение обременено правами каких-либо лиц;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перевод жилого помещения в нежилое помещение проводится в целях осуществления религиозной деятельности;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обладает правом на объект недвижимости;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30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календарного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 признании помещения жилым помещением, жилого помещения пригодным (непригодным) для проживания граждан, многоквартирного дома аварийным и подлежащим сносу или реконструкции».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электронной почты, посредством Единого портала, в МФЦ,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недвижимости, права на который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сведения</w:t>
      </w:r>
      <w:r>
        <w:rPr>
          <w:sz w:val="28"/>
          <w:szCs w:val="28"/>
          <w:lang w:val="en-US"/>
        </w:rPr>
        <w:t>, – технический паспорт</w:t>
      </w:r>
      <w:r>
        <w:rPr>
          <w:sz w:val="28"/>
          <w:szCs w:val="28"/>
        </w:rPr>
        <w:t xml:space="preserve"> (копия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или являются недействительными на момент обращения за Услугой.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Технический паспорт»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Росреестр»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заключениях (актах) соответствующих органов государственного надзора (контроля)»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государственного надзора (контроля)»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24 часа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15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в течение установленного в уведомлении о приостановлении срока заявителем представлены недостающие документы.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соответствия помещений и многоквартирных домов установленным требованиями с целью признания помещений жилыми помещениями, жилых помещений непригодными для проживания, многоквартирных жилых домов аварийными и подлежащими сносу или реконструкции, садовых домов жилыми домами и жилых домов садовыми домами.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помещение в многоквартирном доме,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заключение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5 календарных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перевод жилого помещения в нежилое помещение осуществляется в наемном доме социального использования;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право собственности на переводимое помещение обременено правами каких-либо лиц;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перевод жилого помещения в нежилое помещение проводится в целях осуществления религиозной деятельности;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обладает правом на объект недвижимости;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10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календарного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30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 признании помещения жилым помещением, жилого помещения пригодным (непригодным) для проживания граждан, многоквартирного дома аварийным и подлежащим сносу или реконструкции».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электронной почты, посредством Единого портала, в МФЦ,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недвижимости, права на который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проектная документация</w:t>
      </w:r>
      <w:r>
        <w:rPr>
          <w:sz w:val="28"/>
          <w:szCs w:val="28"/>
          <w:lang w:val="en-US"/>
        </w:rPr>
        <w:t>, – проект реконструкции нежилого помещения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технический план помещения</w:t>
      </w:r>
      <w:r>
        <w:rPr>
          <w:sz w:val="28"/>
          <w:szCs w:val="28"/>
        </w:rPr>
        <w:t xml:space="preserve"> (копия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или являются недействительными на момент обращения за Услугой.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Технический паспорт»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Росреестр»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Технический план»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Росреестр»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24 часа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15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в течение установленного в уведомлении о приостановлении срока заявителем представлены недостающие документы.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соответствия помещений и многоквартирных домов установленным требованиями с целью признания помещений жилыми помещениями, жилых помещений непригодными для проживания, многоквартирных жилых домов аварийными и подлежащими сносу или реконструкции, садовых домов жилыми домами и жилых домов садовыми домами.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помещение в многоквартирном доме,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заключение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5 календарных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перевод жилого помещения в нежилое помещение осуществляется в наемном доме социального использования;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право собственности на переводимое помещение обременено правами каких-либо лиц;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перевод жилого помещения в нежилое помещение проводится в целях осуществления религиозной деятельности;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обладает правом на объект недвижимости;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30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календарного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30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 признании помещения жилым помещением, жилого помещения пригодным (непригодным) для проживания граждан, многоквартирного дома аварийным и подлежащим сносу или реконструкции».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электронной почты, посредством Единого портала, в МФЦ,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недвижимости, права на который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>
        <w:rPr>
          <w:sz w:val="28"/>
          <w:szCs w:val="28"/>
          <w:lang w:val="en-US"/>
        </w:rPr>
        <w:t>, – заключение специализированной организации, проводившей обследование многоквартирного дома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или являются недействительными на момент обращения за Услугой.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Технический паспорт»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Росреестр»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15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в течение установленного в уведомлении о приостановлении срока заявителем представлены недостающие документы.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соответствия помещений и многоквартирных домов установленным требованиями с целью признания помещений жилыми помещениями, жилых помещений непригодными для проживания, многоквартирных жилых домов аварийными и подлежащими сносу или реконструкции, садовых домов жилыми домами и жилых домов садовыми домами.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помещение в многоквартирном доме,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заключение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5 календарных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перевод жилого помещения в нежилое помещение осуществляется в наемном доме социального использования;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право собственности на переводимое помещение обременено правами каких-либо лиц;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перевод жилого помещения в нежилое помещение проводится в целях осуществления религиозной деятельности;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обладает правом на объект недвижимости;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30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календарного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30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 признании помещения жилым помещением, жилого помещения пригодным (непригодным) для проживания граждан, многоквартирного дома аварийным и подлежащим сносу или реконструкции».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электронной почты, посредством Единого портала, в МФЦ,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недвижимости, права на который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>
        <w:rPr>
          <w:sz w:val="28"/>
          <w:szCs w:val="28"/>
          <w:lang w:val="en-US"/>
        </w:rPr>
        <w:t>, – заключение специализированной организации по результатам обследования элементов ограждающих и несущих конструкций жилого помещения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сведения</w:t>
      </w:r>
      <w:r>
        <w:rPr>
          <w:sz w:val="28"/>
          <w:szCs w:val="28"/>
          <w:lang w:val="en-US"/>
        </w:rPr>
        <w:t>, – технический паспорт</w:t>
      </w:r>
      <w:r>
        <w:rPr>
          <w:sz w:val="28"/>
          <w:szCs w:val="28"/>
        </w:rPr>
        <w:t xml:space="preserve"> (копия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или являются недействительными на момент обращения за Услугой.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Технический паспорт»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Росреестр»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Технический паспорт»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Росреестр»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24 часа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заключениях (актах) соответствующих органов государственного надзора (контроля)»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государственного надзора (контроля)»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24 часа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15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в течение установленного в уведомлении о приостановлении срока заявителем представлены недостающие документы.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соответствия помещений и многоквартирных домов установленным требованиями с целью признания помещений жилыми помещениями, жилых помещений непригодными для проживания, многоквартирных жилых домов аварийными и подлежащими сносу или реконструкции, садовых домов жилыми домами и жилых домов садовыми домами.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помещение в многоквартирном доме,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заключение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5 календарных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перевод жилого помещения в нежилое помещение осуществляется в наемном доме социального использования;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право собственности на переводимое помещение обременено правами каких-либо лиц;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перевод жилого помещения в нежилое помещение проводится в целях осуществления религиозной деятельности;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обладает правом на объект недвижимости;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30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календарного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10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«О признании помещения жилым помещением, жилого помещения пригодным (непригодным) для проживания граждан, многоквартирного дома аварийным и подлежащим сносу или реконструкции».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приостановление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электронной почты, посредством Единого портала, в МФЦ, в Органе местного самоуправления, посредством почтовой связи.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объект недвижимости, права на который не зарегистрированы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сведения</w:t>
      </w:r>
      <w:r>
        <w:rPr>
          <w:sz w:val="28"/>
          <w:szCs w:val="28"/>
          <w:lang w:val="en-US"/>
        </w:rPr>
        <w:t>, – технический паспорт</w:t>
      </w:r>
      <w:r>
        <w:rPr>
          <w:sz w:val="28"/>
          <w:szCs w:val="28"/>
        </w:rPr>
        <w:t xml:space="preserve"> (копия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или являются недействительными на момент обращения за Услугой.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Технический паспорт»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Росреестр»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заключениях (актах) соответствующих органов государственного надзора (контроля)»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государственного надзора (контроля)»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24 часа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Приостановление предоставления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приостанавливает предоставление Услуги на срок 15 календарных дней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административных действий не осуществляют.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 местного самоуправления возобновляет предоставление Услуги при наличии </w:t>
      </w:r>
      <w:r>
        <w:rPr>
          <w:sz w:val="28"/>
          <w:szCs w:val="28"/>
          <w:lang w:eastAsia="ru-RU"/>
        </w:rPr>
        <w:t xml:space="preserve">следующего основания – </w:t>
      </w:r>
      <w:r>
        <w:rPr>
          <w:sz w:val="28"/>
          <w:szCs w:val="28"/>
        </w:rPr>
        <w:t>в течение установленного в уведомлении о приостановлении срока заявителем представлены недостающие документы.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соответствия помещений и многоквартирных домов установленным требованиями с целью признания помещений жилыми помещениями, жилых помещений непригодными для проживания, многоквартирных жилых домов аварийными и подлежащими сносу или реконструкции, садовых домов жилыми домами и жилых домов садовыми домами.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помещение в многоквартирном доме,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заключение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5 календарных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перевод жилого помещения в нежилое помещение осуществляется в наемном доме социального использования;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право собственности на переводимое помещение обременено правами каких-либо лиц;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перевод жилого помещения в нежилое помещение проводится в целях осуществления религиозной деятельности;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обладает правом на объект недвижимости;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10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календарного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исправлении опечаток и (или) ошибок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(или) ошибок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Органе местного самоуправления, посредством электронной почты, посредством почтовой связи, посредством Единого портала, в МФЦ.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опечатки и (или) ошибки</w:t>
      </w:r>
      <w:r>
        <w:rPr>
          <w:sz w:val="28"/>
          <w:szCs w:val="28"/>
          <w:lang w:val="en-US"/>
        </w:rPr>
        <w:t>, – документ, содержащий опечатки и (или) ошибки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отсутствие опечаток и (или) ошибок в выданных в результате предоставления Услуги документах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исправлении опечаток и (или) ошибок;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(или) ошибок.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4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исправлении опечаток и (или) ошибок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(или) ошибок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Органе местного самоуправления, посредством электронной почты, посредством почтовой связи, посредством Единого портала, в МФЦ.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опечатки и (или) ошибки</w:t>
      </w:r>
      <w:r>
        <w:rPr>
          <w:sz w:val="28"/>
          <w:szCs w:val="28"/>
          <w:lang w:val="en-US"/>
        </w:rPr>
        <w:t>, – документ, содержащий опечатки и (или) ошибки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электронной почты: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</w:t>
      </w:r>
      <w:r>
        <w:rPr>
          <w:sz w:val="28"/>
          <w:szCs w:val="28"/>
        </w:rPr>
        <w:t xml:space="preserve"> (копия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электронной почты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отсутствие опечаток и (или) ошибок в выданных в результате предоставления Услуги документах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исправлении опечаток и (или) ошибок;</w:t>
      </w:r>
    </w:p>
    <w:p>
      <w:pPr>
        <w:pStyle w:val="Normal"/>
        <w:numPr>
          <w:ilvl w:val="1"/>
          <w:numId w:val="6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связи, посредством электронной почты,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(или) ошибок.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IV</w:t>
      </w:r>
      <w:r>
        <w:rPr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>
        <w:rPr>
          <w:sz w:val="28"/>
          <w:szCs w:val="28"/>
        </w:rPr>
        <w:t xml:space="preserve">Органа местного самоуправления </w:t>
      </w:r>
      <w:r>
        <w:rPr>
          <w:sz w:val="28"/>
          <w:szCs w:val="28"/>
          <w:lang w:eastAsia="ru-RU"/>
        </w:rPr>
        <w:t>настоящего Административного регламента, а также иных нормативных правовых актов, устанавливающих требования к предоставлению Услуги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также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принятием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ими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решений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руководителем Органа местного самоуправления или заместителем руководителя Органа местного самоуправления, курирующим вопросы предоставления Услуги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осуществляется посредством проведения плановых и внеплановых проверок.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Плановые проверки проводятся на основе ежегодно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утверждаемого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плана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внеплановые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по решению лиц, ответственных за проведение проверок.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V</w:t>
      </w:r>
      <w:r>
        <w:rPr>
          <w:b/>
          <w:bCs/>
          <w:sz w:val="28"/>
          <w:szCs w:val="28"/>
          <w:lang w:eastAsia="ru-RU"/>
        </w:rPr>
        <w:t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Информирование заявителей о порядке досудебного (внесудебного) обжалования осуществляется посредством размещения информации </w:t>
      </w:r>
      <w:r>
        <w:rPr>
          <w:sz w:val="28"/>
          <w:szCs w:val="28"/>
        </w:rPr>
        <w:t>на информационных стендах в местах предоставления Услуги, на Едином портале, на Региональном портале, по телефону, посредством электронной почты, при личном приеме заявителя в Органе местного самоуправления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6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  <w:lang w:eastAsia="ru-RU"/>
        </w:rPr>
        <w:t xml:space="preserve">Жалобы в форме электронных документов направляются </w:t>
      </w:r>
      <w:r>
        <w:rPr>
          <w:sz w:val="28"/>
          <w:szCs w:val="28"/>
        </w:rPr>
        <w:t>через портал Федеральной государственной информационной системы «Досудебное обжалование» http://do.gosuslugi.ru, посредством официального сайта Органа местного самоуправления в сети «Интернет».</w:t>
      </w:r>
      <w:r>
        <w:rPr/>
        <w:t xml:space="preserve">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Жалобы в форме документов на бумажном носителе направляются </w:t>
      </w:r>
      <w:r>
        <w:rPr>
          <w:sz w:val="28"/>
          <w:szCs w:val="28"/>
        </w:rPr>
        <w:t>почтовым отправлением, в Органе местного самоуправления при личном обращении.</w:t>
      </w:r>
    </w:p>
    <w:p>
      <w:pPr>
        <w:pStyle w:val="Normal"/>
        <w:spacing w:before="0" w:after="160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left="6237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>
      <w:pPr>
        <w:pStyle w:val="NoSpacing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jc w:val="both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spacing w:before="0" w:after="24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Перечень общих признаков заявителей, </w:t>
        <w:br/>
        <w:t>а также комбинации значений признаков, каждая из которых соответствует одному варианту предоставления Услуги</w:t>
      </w:r>
    </w:p>
    <w:p>
      <w:pPr>
        <w:pStyle w:val="Normal"/>
        <w:spacing w:before="240" w:after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tbl>
      <w:tblPr>
        <w:tblStyle w:val="3"/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8930"/>
      </w:tblGrid>
      <w:tr>
        <w:trPr>
          <w:trHeight w:val="567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 xml:space="preserve">№ </w:t>
            </w: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варианта</w:t>
            </w:r>
          </w:p>
        </w:tc>
        <w:tc>
          <w:tcPr>
            <w:tcW w:w="8930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Комбинация значений признаков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Собственник помещения, правообладатель или наниматель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лично, признание нежилого помещения жилым помещением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Собственник помещения, правообладатель или наниматель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лично, признание многоквартирного дома аварийным и подлежащим сносу или реконструкции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Собственник помещения, правообладатель или наниматель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лично, принятие решения о признании жилого помещения соответствующим (не соответствующим) установленным требованиям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Собственник помещения, правообладатель или наниматель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лично, помещение получило повреждения в результате чрезвычайной ситуации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Собственник помещения, правообладатель или наниматель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через представителя, признание нежилого помещения жилым помещением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Собственник помещения, правообладатель или наниматель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через представителя, признание многоквартирного дома аварийным и подлежащим сносу или реконструкции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Собственник помещения, правообладатель или наниматель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через представителя, принятие решения о признании жилого помещения соответствующим (не соответствующим) установленным требованиям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Собственник помещения, правообладатель или наниматель</w:t>
            </w:r>
            <w:r>
              <w:rPr>
                <w:kern w:val="0"/>
                <w:szCs w:val="20"/>
                <w:lang w:val="ru-RU" w:eastAsia="en-US" w:bidi="ar-SA"/>
              </w:rPr>
              <w:t>, заявитель обратился через представителя, помещение получило повреждения в результате чрезвычайной ситуации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Исправление опечаток и (или) ошибок, допущенных в результате предоставления Услуги»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Собственник помещения, правообладатель или наниматель</w:t>
            </w:r>
            <w:r>
              <w:rPr>
                <w:kern w:val="0"/>
                <w:szCs w:val="20"/>
                <w:lang w:val="ru-RU" w:eastAsia="en-US" w:bidi="ar-SA"/>
              </w:rPr>
              <w:t>, обратился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Собственник помещения, правообладатель или наниматель</w:t>
            </w:r>
            <w:r>
              <w:rPr>
                <w:kern w:val="0"/>
                <w:szCs w:val="20"/>
                <w:lang w:val="ru-RU" w:eastAsia="en-US" w:bidi="ar-SA"/>
              </w:rPr>
              <w:t>, обратился представитель заявителя</w:t>
            </w:r>
          </w:p>
        </w:tc>
      </w:tr>
    </w:tbl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2. Перечень общих признаков заявителей</w:t>
      </w:r>
    </w:p>
    <w:tbl>
      <w:tblPr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2976"/>
        <w:gridCol w:w="5955"/>
      </w:tblGrid>
      <w:tr>
        <w:trPr>
          <w:trHeight w:val="815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 xml:space="preserve">№ </w:t>
            </w:r>
            <w:r>
              <w:rPr>
                <w:b/>
                <w:bCs/>
                <w:szCs w:val="20"/>
                <w:lang w:eastAsia="ru-RU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Собственник помещения, правообладатель или наниматель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Заявитель обратился лично или через представителя?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Заявитель обратился лично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Заявитель обратился через представителя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Цель обращения?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Признание нежилого помещения жилым помещением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Признание многоквартирного дома аварийным и подлежащим сносу или реконструкции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Принятие решения о признании жилого помещения соответствующим (не соответствующим) установленным требованиям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4. Помещение получило повреждения в результате чрезвычайной ситуации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Исправление опечаток и (или) ошибок, допущенных в результате предоставления Услуги»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Собственник помещения, правообладатель или наниматель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Кто может обратиться за предоставлением услуги?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Обратился заявитель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Обратился представитель заявителя</w:t>
            </w:r>
          </w:p>
        </w:tc>
      </w:tr>
    </w:tbl>
    <w:p>
      <w:pPr>
        <w:pStyle w:val="1TimesNewRoman12"/>
        <w:keepNext w:val="true"/>
        <w:tabs>
          <w:tab w:val="clear" w:pos="851"/>
        </w:tabs>
        <w:spacing w:lineRule="auto" w:line="240"/>
        <w:ind w:hanging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left="6237"/>
        <w:outlineLvl w:val="0"/>
        <w:rPr>
          <w:sz w:val="28"/>
          <w:szCs w:val="28"/>
          <w:lang w:val="en-US"/>
        </w:rPr>
      </w:pPr>
      <w:r>
        <w:rPr>
          <w:sz w:val="28"/>
          <w:szCs w:val="28"/>
        </w:rPr>
        <w:t>Приложение</w:t>
      </w:r>
      <w:r>
        <w:rPr>
          <w:sz w:val="28"/>
          <w:szCs w:val="28"/>
          <w:lang w:val="en-US"/>
        </w:rPr>
        <w:t xml:space="preserve"> № 2</w:t>
      </w:r>
    </w:p>
    <w:p>
      <w:pPr>
        <w:pStyle w:val="NoSpacing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вариантам</w:t>
      </w:r>
      <w:r>
        <w:rPr>
          <w:sz w:val="20"/>
          <w:u w:val="single"/>
          <w:lang w:val="en-US"/>
        </w:rPr>
        <w:t xml:space="preserve"> 1 – 8</w:t>
      </w:r>
    </w:p>
    <w:p>
      <w:pPr>
        <w:pStyle w:val="Normal"/>
        <w:rPr>
          <w:szCs w:val="20"/>
          <w:lang w:val="en-US"/>
        </w:rPr>
      </w:pPr>
      <w:r>
        <w:rPr>
          <w:szCs w:val="20"/>
          <w:lang w:val="en-US"/>
        </w:rPr>
      </w:r>
    </w:p>
    <w:p>
      <w:pPr>
        <w:pStyle w:val="Normal"/>
        <w:spacing w:lineRule="exact" w:line="360"/>
        <w:ind w:left="4962"/>
        <w:rPr>
          <w:sz w:val="24"/>
          <w:szCs w:val="24"/>
          <w:lang w:val="en-US"/>
        </w:rPr>
      </w:pPr>
      <w:r>
        <w:rPr>
          <w:sz w:val="24"/>
          <w:szCs w:val="24"/>
        </w:rPr>
        <w:t>Наименование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органа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власти</w:t>
      </w:r>
      <w:r>
        <w:rPr>
          <w:sz w:val="24"/>
          <w:szCs w:val="24"/>
          <w:lang w:val="en-US"/>
        </w:rPr>
        <w:t xml:space="preserve"> (</w:t>
      </w:r>
      <w:r>
        <w:rPr>
          <w:sz w:val="24"/>
          <w:szCs w:val="24"/>
        </w:rPr>
        <w:t>организации</w:t>
      </w:r>
      <w:r>
        <w:rPr>
          <w:sz w:val="24"/>
          <w:szCs w:val="24"/>
          <w:lang w:val="en-US"/>
        </w:rPr>
        <w:t>)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>Наименование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должности</w:t>
      </w:r>
      <w:r>
        <w:rPr>
          <w:sz w:val="24"/>
          <w:szCs w:val="24"/>
          <w:lang w:val="en-US"/>
        </w:rPr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</w:rPr>
      </w:pPr>
      <w:r>
        <w:rPr>
          <w:sz w:val="24"/>
          <w:szCs w:val="24"/>
        </w:rPr>
        <w:t>Фамилия, имя, отчество (при наличии)</w:t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«Признание помещения жилым помещением, жилого помещения непригодным для проживания, многоквартирного дома аварийным и подлежащим к сносу или реконструкции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Прошу провести оценку соответствия помещения (многоквартирного дома) по адресу:  требованиям,   установленным   в  Положении  о  признании  помещения  жилым помещением,  жилого помещения непригодным для проживания и многоквартирного дома    аварийным   и   подлежащим   сносу,   утвержденном   постановлением Правительства  Российской  Федерации  от  28.01.2006  N  47, и признать его (вариант указать в соответствии с п. 47):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жилого помещения: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решение комиссии: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ФИО заявителя (отчество 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СНИЛС: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серия, номер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 документа, удостоверяющего личность: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органа, выдавшего документ, удостоверяющий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наличии) для связи с заявителем: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телефон мобильный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представителе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полномочия представителя: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телефона (с указанием кода):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и реквизиты документа, удостоверяющего личность представителя: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 адрес электронной почты: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почтовой связи (простое или заказное почтовое отправлением с уведомлением о вручении):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 (в случае подачи заявления через МФЦ):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Единого портала: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лично в Органе местного самоуправления: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 и дата подачи заявления: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датa: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(фамилия, имя, отчество (при наличии): </w:t>
        <w:tab/>
        <w:t xml:space="preserve">. </w:t>
      </w:r>
      <w:r>
        <w:br w:type="page"/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 w:before="0" w:after="0"/>
        <w:rPr>
          <w:sz w:val="28"/>
          <w:szCs w:val="28"/>
          <w:lang w:val="en-US"/>
        </w:rPr>
      </w:pPr>
      <w:r>
        <w:rPr>
          <w:sz w:val="20"/>
          <w:lang w:val="en-US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вариантам</w:t>
      </w:r>
      <w:r>
        <w:rPr>
          <w:sz w:val="20"/>
          <w:u w:val="single"/>
          <w:lang w:val="en-US"/>
        </w:rPr>
        <w:t xml:space="preserve"> 9 – 10</w:t>
      </w:r>
    </w:p>
    <w:p>
      <w:pPr>
        <w:pStyle w:val="Normal"/>
        <w:rPr>
          <w:szCs w:val="20"/>
          <w:lang w:val="en-US"/>
        </w:rPr>
      </w:pPr>
      <w:r>
        <w:rPr>
          <w:szCs w:val="20"/>
          <w:lang w:val="en-US"/>
        </w:rPr>
      </w:r>
    </w:p>
    <w:p>
      <w:pPr>
        <w:pStyle w:val="Normal"/>
        <w:spacing w:lineRule="exact" w:line="360"/>
        <w:ind w:left="4962"/>
        <w:rPr>
          <w:sz w:val="24"/>
          <w:szCs w:val="24"/>
          <w:lang w:val="en-US"/>
        </w:rPr>
      </w:pPr>
      <w:r>
        <w:rPr>
          <w:sz w:val="24"/>
          <w:szCs w:val="24"/>
        </w:rPr>
        <w:t>Наименование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органа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власти</w:t>
      </w:r>
      <w:r>
        <w:rPr>
          <w:sz w:val="24"/>
          <w:szCs w:val="24"/>
          <w:lang w:val="en-US"/>
        </w:rPr>
        <w:t xml:space="preserve"> (</w:t>
      </w:r>
      <w:r>
        <w:rPr>
          <w:sz w:val="24"/>
          <w:szCs w:val="24"/>
        </w:rPr>
        <w:t>организации</w:t>
      </w:r>
      <w:r>
        <w:rPr>
          <w:sz w:val="24"/>
          <w:szCs w:val="24"/>
          <w:lang w:val="en-US"/>
        </w:rPr>
        <w:t>)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>Наименование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должности</w:t>
      </w:r>
      <w:r>
        <w:rPr>
          <w:sz w:val="24"/>
          <w:szCs w:val="24"/>
          <w:lang w:val="en-US"/>
        </w:rPr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</w:rPr>
      </w:pPr>
      <w:r>
        <w:rPr>
          <w:sz w:val="24"/>
          <w:szCs w:val="24"/>
        </w:rPr>
        <w:t>Фамилия, имя, отчество (при наличии)</w:t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«Признание помещения жилым помещением, жилого помещения непригодным для проживания, многоквартирного дома аварийным и подлежащим к сносу или реконструкции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Прошу исправить допущенные опечатки и (или) ошибки.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заявителе, являющемся физическим лицом: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 и отчество (последнее -  при наличии) физического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страховой номер индивидуального лицевого счета (СНИЛС):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телефона: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электронная почта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регистрации по месту жительства либо пребывания: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заявителе, являющемся юридическим лицом: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основной государственный регистрационный номер (ОГРН):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идентификационный номер налогоплательщика (ИНН):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место нахождения и адрес: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E-mail: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заявителе, являющемся индивидуальным предпринимателем: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 индивидуального предпринимателя: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основной государственный регистрационный номер индивидуального предпринимателя (ОГРНИП):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идентификационный номер налогоплательщика (ИНН):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и реквизиты документа, удостоверяющего личность заявителя: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телефона (с указанием кода):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для корреспонденции: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представителе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и реквизиты документа, удостоверяющего личность представителя: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реквизиты документа, подтверждающего полномочия представителя (номер и дата):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телефон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почтовый адрес: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допущенных опечатках и (или) ошибках: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описание опечаток и (или) ошибок: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Приложение (при наличии):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документа(ов):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количество листов: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 адрес электронной почты: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почтовой связи (простое или заказное почтовое отправлением с уведомлением о вручении):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 (в случае подачи заявления через МФЦ):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Единого портала: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лично в Органе местного самоуправления: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 и дата подачи заявления: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датa: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подпись: </w:t>
        <w:tab/>
        <w:t xml:space="preserve">; </w:t>
      </w:r>
    </w:p>
    <w:p>
      <w:pPr>
        <w:sectPr>
          <w:headerReference w:type="default" r:id="rId7"/>
          <w:headerReference w:type="first" r:id="rId8"/>
          <w:footnotePr>
            <w:numFmt w:val="decimal"/>
          </w:footnotePr>
          <w:type w:val="nextPage"/>
          <w:pgSz w:w="11906" w:h="16838"/>
          <w:pgMar w:left="1134" w:right="567" w:gutter="0" w:header="709" w:top="766" w:footer="0" w:bottom="1134"/>
          <w:pgNumType w:start="1" w:fmt="decimal"/>
          <w:formProt w:val="false"/>
          <w:titlePg/>
          <w:textDirection w:val="lrTb"/>
          <w:docGrid w:type="default" w:linePitch="360" w:charSpace="0"/>
        </w:sect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(фамилия, имя, отчество (при наличии): </w:t>
        <w:tab/>
        <w:t>.</w:t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Arial Unicode MS" w:hAnsi="Arial Unicode MS" w:eastAsia="Arial Unicode MS" w:cs="Arial Unicode MS"/>
          <w:color w:val="000000"/>
          <w:sz w:val="24"/>
          <w:szCs w:val="24"/>
          <w:lang w:val="ru-RU" w:eastAsia="ru-RU" w:bidi="ru-RU"/>
        </w:rPr>
      </w:pPr>
      <w:r>
        <w:rPr>
          <w:rFonts w:eastAsia="Times New Roman" w:cs="Times New Roman"/>
          <w:color w:val="000000"/>
          <w:sz w:val="28"/>
          <w:szCs w:val="24"/>
          <w:lang w:val="ru-RU" w:eastAsia="ru-RU" w:bidi="ru-RU"/>
        </w:rPr>
        <w:t xml:space="preserve">Приложение № 3 к Административному регламенту, утвержденному постановлением Администрации Вилючинского городского округа от  </w:t>
      </w:r>
    </w:p>
    <w:p>
      <w:pPr>
        <w:pStyle w:val="Normal"/>
        <w:widowControl w:val="false"/>
        <w:rPr>
          <w:rFonts w:ascii="Arial Unicode MS" w:hAnsi="Arial Unicode MS" w:eastAsia="Arial Unicode MS" w:cs="Arial Unicode MS"/>
          <w:color w:val="000000"/>
          <w:sz w:val="24"/>
          <w:szCs w:val="24"/>
          <w:lang w:val="ru-RU" w:eastAsia="ru-RU" w:bidi="ru-RU"/>
        </w:rPr>
      </w:pPr>
      <w:r>
        <w:rPr>
          <w:rFonts w:eastAsia="Arial Unicode MS" w:cs="Arial Unicode MS" w:ascii="Arial Unicode MS" w:hAnsi="Arial Unicode MS"/>
          <w:color w:val="000000"/>
          <w:sz w:val="28"/>
          <w:szCs w:val="24"/>
          <w:lang w:val="ru-RU" w:eastAsia="ru-RU" w:bidi="ru-RU"/>
        </w:rPr>
        <w:t xml:space="preserve"> </w:t>
      </w:r>
    </w:p>
    <w:p>
      <w:pPr>
        <w:pStyle w:val="Normal1"/>
        <w:spacing w:before="360" w:after="1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ЗАКЛЮЧЕНИЕ</w:t>
      </w:r>
    </w:p>
    <w:p>
      <w:pPr>
        <w:pStyle w:val="Normal1"/>
        <w:spacing w:before="0" w:after="36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br/>
        <w:br/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 подлежащим сносу или реконструкции</w:t>
      </w:r>
    </w:p>
    <w:tbl>
      <w:tblPr>
        <w:tblW w:w="9641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369"/>
        <w:gridCol w:w="3686"/>
        <w:gridCol w:w="1984"/>
        <w:gridCol w:w="3601"/>
      </w:tblGrid>
      <w:tr>
        <w:trPr>
          <w:cantSplit w:val="true"/>
        </w:trPr>
        <w:tc>
          <w:tcPr>
            <w:tcW w:w="369" w:type="dxa"/>
            <w:tcBorders/>
            <w:vAlign w:val="bottom"/>
          </w:tcPr>
          <w:p>
            <w:pPr>
              <w:pStyle w:val="Normal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№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84" w:type="dxa"/>
            <w:tcBorders/>
            <w:vAlign w:val="bottom"/>
          </w:tcPr>
          <w:p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60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369" w:type="dxa"/>
            <w:tcBorders/>
          </w:tcPr>
          <w:p>
            <w:pPr>
              <w:pStyle w:val="Normal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686" w:type="dxa"/>
            <w:tcBorders/>
          </w:tcPr>
          <w:p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84" w:type="dxa"/>
            <w:tcBorders/>
          </w:tcPr>
          <w:p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601" w:type="dxa"/>
            <w:tcBorders/>
          </w:tcPr>
          <w:p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(дата)</w:t>
            </w:r>
          </w:p>
        </w:tc>
      </w:tr>
    </w:tbl>
    <w:p>
      <w:pPr>
        <w:pStyle w:val="Normal1"/>
        <w:spacing w:before="24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1"/>
        <w:pBdr>
          <w:top w:val="single" w:sz="4" w:space="1" w:color="000000"/>
        </w:pBdr>
        <w:jc w:val="center"/>
        <w:rPr>
          <w:rFonts w:ascii="Times New Roman" w:hAnsi="Times New Roman" w:cs="Times New Roman"/>
          <w:spacing w:val="-2"/>
        </w:rPr>
      </w:pPr>
      <w:r>
        <w:rPr>
          <w:rFonts w:cs="Times New Roman" w:ascii="Times New Roman" w:hAnsi="Times New Roman"/>
          <w:spacing w:val="-2"/>
        </w:rPr>
        <w:t>(месторасположение помещения, в том числе наименования населенного пункта и улицы, номера дома и квартиры)</w:t>
      </w:r>
    </w:p>
    <w:p>
      <w:pPr>
        <w:pStyle w:val="Normal1"/>
        <w:spacing w:before="120" w:after="0"/>
        <w:ind w:firstLine="567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Межведомственная комиссия, назначенная  </w:t>
      </w:r>
    </w:p>
    <w:p>
      <w:pPr>
        <w:pStyle w:val="Normal1"/>
        <w:pBdr>
          <w:top w:val="single" w:sz="4" w:space="1" w:color="000000"/>
        </w:pBdr>
        <w:ind w:left="5103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(кем назначена, наименование федерального органа </w:t>
      </w:r>
    </w:p>
    <w:p>
      <w:pPr>
        <w:pStyle w:val="Normal1"/>
        <w:tabs>
          <w:tab w:val="clear" w:pos="1134"/>
          <w:tab w:val="right" w:pos="9923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,</w:t>
      </w:r>
    </w:p>
    <w:p>
      <w:pPr>
        <w:pStyle w:val="Normal1"/>
        <w:pBdr>
          <w:top w:val="single" w:sz="4" w:space="1" w:color="000000"/>
        </w:pBdr>
        <w:ind w:right="113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исполнительной власти, органа исполнительной власти субъекта Российской Федерации, органа местного самоуправления, дата, номер решения о созыве комиссии)</w:t>
      </w:r>
    </w:p>
    <w:p>
      <w:pPr>
        <w:pStyle w:val="Normal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 составе председателя  </w:t>
      </w:r>
    </w:p>
    <w:p>
      <w:pPr>
        <w:pStyle w:val="Normal1"/>
        <w:pBdr>
          <w:top w:val="single" w:sz="4" w:space="1" w:color="000000"/>
        </w:pBdr>
        <w:ind w:left="24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(Ф.И.О., занимаемая должность и место работы)</w:t>
      </w:r>
    </w:p>
    <w:p>
      <w:pPr>
        <w:pStyle w:val="Normal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1"/>
        <w:pBdr>
          <w:top w:val="single" w:sz="4" w:space="1" w:color="000000"/>
        </w:pBdr>
        <w:rPr>
          <w:rFonts w:ascii="Times New Roman" w:hAnsi="Times New Roman" w:cs="Times New Roman"/>
          <w:sz w:val="2"/>
          <w:szCs w:val="2"/>
        </w:rPr>
      </w:pPr>
      <w:r>
        <w:rPr>
          <w:rFonts w:cs="Times New Roman" w:ascii="Times New Roman" w:hAnsi="Times New Roman"/>
          <w:sz w:val="2"/>
          <w:szCs w:val="2"/>
        </w:rPr>
      </w:r>
    </w:p>
    <w:p>
      <w:pPr>
        <w:pStyle w:val="Normal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 членов комиссии  </w:t>
      </w:r>
    </w:p>
    <w:p>
      <w:pPr>
        <w:pStyle w:val="Normal1"/>
        <w:pBdr>
          <w:top w:val="single" w:sz="4" w:space="1" w:color="000000"/>
        </w:pBdr>
        <w:ind w:left="2069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(Ф.И.О., занимаемая должность и место работы)</w:t>
      </w:r>
    </w:p>
    <w:p>
      <w:pPr>
        <w:pStyle w:val="Normal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при участии приглашенных экспертов  </w:t>
      </w:r>
    </w:p>
    <w:p>
      <w:pPr>
        <w:pStyle w:val="Normal1"/>
        <w:pBdr>
          <w:top w:val="single" w:sz="4" w:space="1" w:color="000000"/>
        </w:pBdr>
        <w:ind w:left="4054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(Ф.И.О., занимаемая должность и место работы)</w:t>
      </w:r>
    </w:p>
    <w:p>
      <w:pPr>
        <w:pStyle w:val="Normal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1"/>
        <w:pBdr>
          <w:top w:val="single" w:sz="4" w:space="1" w:color="000000"/>
        </w:pBdr>
        <w:rPr>
          <w:rFonts w:ascii="Times New Roman" w:hAnsi="Times New Roman" w:cs="Times New Roman"/>
          <w:sz w:val="2"/>
          <w:szCs w:val="2"/>
        </w:rPr>
      </w:pPr>
      <w:r>
        <w:rPr>
          <w:rFonts w:cs="Times New Roman" w:ascii="Times New Roman" w:hAnsi="Times New Roman"/>
          <w:sz w:val="2"/>
          <w:szCs w:val="2"/>
        </w:rPr>
      </w:r>
    </w:p>
    <w:p>
      <w:pPr>
        <w:pStyle w:val="Normal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1"/>
        <w:pBdr>
          <w:top w:val="single" w:sz="4" w:space="1" w:color="000000"/>
        </w:pBdr>
        <w:rPr>
          <w:rFonts w:ascii="Times New Roman" w:hAnsi="Times New Roman" w:cs="Times New Roman"/>
          <w:sz w:val="2"/>
          <w:szCs w:val="2"/>
        </w:rPr>
      </w:pPr>
      <w:r>
        <w:rPr>
          <w:rFonts w:cs="Times New Roman" w:ascii="Times New Roman" w:hAnsi="Times New Roman"/>
          <w:sz w:val="2"/>
          <w:szCs w:val="2"/>
        </w:rPr>
      </w:r>
    </w:p>
    <w:p>
      <w:pPr>
        <w:pStyle w:val="Normal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 приглашенного собственника помещения или уполномоченного им лица  </w:t>
      </w:r>
    </w:p>
    <w:p>
      <w:pPr>
        <w:pStyle w:val="Normal1"/>
        <w:pBdr>
          <w:top w:val="single" w:sz="4" w:space="1" w:color="000000"/>
        </w:pBdr>
        <w:ind w:left="7785"/>
        <w:rPr>
          <w:rFonts w:ascii="Times New Roman" w:hAnsi="Times New Roman" w:cs="Times New Roman"/>
          <w:sz w:val="2"/>
          <w:szCs w:val="2"/>
        </w:rPr>
      </w:pPr>
      <w:r>
        <w:rPr>
          <w:rFonts w:cs="Times New Roman" w:ascii="Times New Roman" w:hAnsi="Times New Roman"/>
          <w:sz w:val="2"/>
          <w:szCs w:val="2"/>
        </w:rPr>
      </w:r>
    </w:p>
    <w:p>
      <w:pPr>
        <w:pStyle w:val="Normal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1"/>
        <w:pBdr>
          <w:top w:val="single" w:sz="4" w:space="1" w:color="000000"/>
        </w:pBdr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(Ф.И.О., занимаемая должность и место работы)</w:t>
      </w:r>
    </w:p>
    <w:p>
      <w:pPr>
        <w:pStyle w:val="Normal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по результатам рассмотренных документов  </w:t>
      </w:r>
    </w:p>
    <w:p>
      <w:pPr>
        <w:pStyle w:val="Normal1"/>
        <w:pBdr>
          <w:top w:val="single" w:sz="4" w:space="1" w:color="000000"/>
        </w:pBdr>
        <w:ind w:left="4576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(приводится перечень документов)</w:t>
      </w:r>
    </w:p>
    <w:p>
      <w:pPr>
        <w:pStyle w:val="Normal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1"/>
        <w:pBdr>
          <w:top w:val="single" w:sz="4" w:space="1" w:color="000000"/>
        </w:pBdr>
        <w:rPr>
          <w:rFonts w:ascii="Times New Roman" w:hAnsi="Times New Roman" w:cs="Times New Roman"/>
          <w:sz w:val="2"/>
          <w:szCs w:val="2"/>
        </w:rPr>
      </w:pPr>
      <w:r>
        <w:rPr>
          <w:rFonts w:cs="Times New Roman" w:ascii="Times New Roman" w:hAnsi="Times New Roman"/>
          <w:sz w:val="2"/>
          <w:szCs w:val="2"/>
        </w:rPr>
      </w:r>
    </w:p>
    <w:p>
      <w:pPr>
        <w:pStyle w:val="Normal1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cs="Times New Roman" w:ascii="Times New Roman" w:hAnsi="Times New Roman"/>
        </w:rPr>
        <w:br/>
        <w:t>и на основании акта межведомственной комиссии, составленного по результатам обследования,</w:t>
      </w:r>
    </w:p>
    <w:p>
      <w:pPr>
        <w:pStyle w:val="Normal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1"/>
        <w:pBdr>
          <w:top w:val="single" w:sz="4" w:space="1" w:color="000000"/>
        </w:pBdr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(приводится заключение, взятое из акта обследования (в случае проведения обследования), или указывается,</w:t>
      </w:r>
    </w:p>
    <w:p>
      <w:pPr>
        <w:pStyle w:val="Normal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1"/>
        <w:pBdr>
          <w:top w:val="single" w:sz="4" w:space="1" w:color="000000"/>
        </w:pBdr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что на основании решения межведомственной комиссии обследование не проводилось)</w:t>
      </w:r>
    </w:p>
    <w:p>
      <w:pPr>
        <w:pStyle w:val="Normal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1"/>
        <w:pBdr>
          <w:top w:val="single" w:sz="4" w:space="1" w:color="000000"/>
        </w:pBdr>
        <w:rPr>
          <w:rFonts w:ascii="Times New Roman" w:hAnsi="Times New Roman" w:cs="Times New Roman"/>
          <w:sz w:val="2"/>
          <w:szCs w:val="2"/>
        </w:rPr>
      </w:pPr>
      <w:r>
        <w:rPr>
          <w:rFonts w:cs="Times New Roman" w:ascii="Times New Roman" w:hAnsi="Times New Roman"/>
          <w:sz w:val="2"/>
          <w:szCs w:val="2"/>
        </w:rPr>
      </w:r>
    </w:p>
    <w:p>
      <w:pPr>
        <w:pStyle w:val="Normal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1"/>
        <w:pBdr>
          <w:top w:val="single" w:sz="4" w:space="1" w:color="000000"/>
        </w:pBdr>
        <w:rPr>
          <w:rFonts w:ascii="Times New Roman" w:hAnsi="Times New Roman" w:cs="Times New Roman"/>
          <w:sz w:val="2"/>
          <w:szCs w:val="2"/>
        </w:rPr>
      </w:pPr>
      <w:r>
        <w:rPr>
          <w:rFonts w:cs="Times New Roman" w:ascii="Times New Roman" w:hAnsi="Times New Roman"/>
          <w:sz w:val="2"/>
          <w:szCs w:val="2"/>
        </w:rPr>
      </w:r>
    </w:p>
    <w:p>
      <w:pPr>
        <w:pStyle w:val="Normal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1"/>
        <w:pBdr>
          <w:top w:val="single" w:sz="4" w:space="1" w:color="000000"/>
        </w:pBdr>
        <w:rPr>
          <w:rFonts w:ascii="Times New Roman" w:hAnsi="Times New Roman" w:cs="Times New Roman"/>
          <w:sz w:val="2"/>
          <w:szCs w:val="2"/>
        </w:rPr>
      </w:pPr>
      <w:r>
        <w:rPr>
          <w:rFonts w:cs="Times New Roman" w:ascii="Times New Roman" w:hAnsi="Times New Roman"/>
          <w:sz w:val="2"/>
          <w:szCs w:val="2"/>
        </w:rPr>
      </w:r>
    </w:p>
    <w:p>
      <w:pPr>
        <w:pStyle w:val="Normal1"/>
        <w:keepNext w:val="tru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приняла заключение о  </w:t>
      </w:r>
    </w:p>
    <w:p>
      <w:pPr>
        <w:pStyle w:val="Normal1"/>
        <w:pBdr>
          <w:top w:val="single" w:sz="4" w:space="1" w:color="000000"/>
        </w:pBdr>
        <w:ind w:left="24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(приводится обоснование принятого межведомственной комиссией заключения</w:t>
      </w:r>
    </w:p>
    <w:p>
      <w:pPr>
        <w:pStyle w:val="Normal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1"/>
        <w:pBdr>
          <w:top w:val="single" w:sz="4" w:space="1" w:color="000000"/>
        </w:pBdr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об оценке соответствия помещения (многоквартирного дома) требованиям, установленным</w:t>
      </w:r>
    </w:p>
    <w:p>
      <w:pPr>
        <w:pStyle w:val="Normal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1"/>
        <w:pBdr>
          <w:top w:val="single" w:sz="4" w:space="1" w:color="000000"/>
        </w:pBdr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Положении о признании помещения жилым помещением, жилого помещения непригодным для проживания</w:t>
      </w:r>
    </w:p>
    <w:p>
      <w:pPr>
        <w:pStyle w:val="Normal1"/>
        <w:tabs>
          <w:tab w:val="clear" w:pos="1134"/>
          <w:tab w:val="right" w:pos="9923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.</w:t>
      </w:r>
    </w:p>
    <w:p>
      <w:pPr>
        <w:pStyle w:val="Normal1"/>
        <w:pBdr>
          <w:top w:val="single" w:sz="4" w:space="1" w:color="000000"/>
        </w:pBdr>
        <w:ind w:right="113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многоквартирного дома аварийным и подлежащим сносу или реконструкции)</w:t>
      </w:r>
    </w:p>
    <w:p>
      <w:pPr>
        <w:pStyle w:val="Normal1"/>
        <w:spacing w:before="48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к заключению:</w:t>
      </w:r>
    </w:p>
    <w:p>
      <w:pPr>
        <w:pStyle w:val="Normal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перечень рассмотренных документов;</w:t>
      </w:r>
    </w:p>
    <w:p>
      <w:pPr>
        <w:pStyle w:val="Normal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акт обследования помещения (в случае проведения обследования);</w:t>
      </w:r>
    </w:p>
    <w:p>
      <w:pPr>
        <w:pStyle w:val="Normal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перечень других материалов, запрошенных межведомственной комиссией;</w:t>
      </w:r>
    </w:p>
    <w:p>
      <w:pPr>
        <w:pStyle w:val="Normal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особое мнение членов межведомственной комиссии:</w:t>
      </w:r>
    </w:p>
    <w:p>
      <w:pPr>
        <w:pStyle w:val="Normal1"/>
        <w:tabs>
          <w:tab w:val="clear" w:pos="1134"/>
          <w:tab w:val="right" w:pos="9923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.</w:t>
      </w:r>
    </w:p>
    <w:p>
      <w:pPr>
        <w:pStyle w:val="Normal1"/>
        <w:pBdr>
          <w:top w:val="single" w:sz="4" w:space="1" w:color="000000"/>
        </w:pBdr>
        <w:ind w:right="113"/>
        <w:rPr>
          <w:rFonts w:ascii="Times New Roman" w:hAnsi="Times New Roman" w:cs="Times New Roman"/>
          <w:sz w:val="2"/>
          <w:szCs w:val="2"/>
        </w:rPr>
      </w:pPr>
      <w:r>
        <w:rPr>
          <w:rFonts w:cs="Times New Roman" w:ascii="Times New Roman" w:hAnsi="Times New Roman"/>
          <w:sz w:val="2"/>
          <w:szCs w:val="2"/>
        </w:rPr>
      </w:r>
    </w:p>
    <w:p>
      <w:pPr>
        <w:pStyle w:val="Normal1"/>
        <w:spacing w:before="48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Председатель межведомственной комиссии</w:t>
      </w:r>
    </w:p>
    <w:tbl>
      <w:tblPr>
        <w:tblW w:w="9100" w:type="dxa"/>
        <w:jc w:val="left"/>
        <w:tblInd w:w="623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2832"/>
        <w:gridCol w:w="1279"/>
        <w:gridCol w:w="4989"/>
      </w:tblGrid>
      <w:tr>
        <w:trPr>
          <w:cantSplit w:val="true"/>
        </w:trPr>
        <w:tc>
          <w:tcPr>
            <w:tcW w:w="283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1"/>
              <w:ind w:left="-1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1"/>
              <w:ind w:left="-1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98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1"/>
              <w:ind w:left="-1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2832" w:type="dxa"/>
            <w:tcBorders/>
          </w:tcPr>
          <w:p>
            <w:pPr>
              <w:pStyle w:val="Normal1"/>
              <w:ind w:left="-1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(подпись)</w:t>
            </w:r>
          </w:p>
        </w:tc>
        <w:tc>
          <w:tcPr>
            <w:tcW w:w="1279" w:type="dxa"/>
            <w:tcBorders/>
          </w:tcPr>
          <w:p>
            <w:pPr>
              <w:pStyle w:val="Normal1"/>
              <w:ind w:left="-1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989" w:type="dxa"/>
            <w:tcBorders/>
          </w:tcPr>
          <w:p>
            <w:pPr>
              <w:pStyle w:val="Normal1"/>
              <w:ind w:left="-1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(Ф.И.О.)</w:t>
            </w:r>
          </w:p>
        </w:tc>
      </w:tr>
    </w:tbl>
    <w:p>
      <w:pPr>
        <w:pStyle w:val="Normal1"/>
        <w:spacing w:before="24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Члены межведомственной комиссии:</w:t>
      </w:r>
    </w:p>
    <w:tbl>
      <w:tblPr>
        <w:tblW w:w="9100" w:type="dxa"/>
        <w:jc w:val="left"/>
        <w:tblInd w:w="623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2832"/>
        <w:gridCol w:w="1279"/>
        <w:gridCol w:w="4989"/>
      </w:tblGrid>
      <w:tr>
        <w:trPr>
          <w:cantSplit w:val="true"/>
        </w:trPr>
        <w:tc>
          <w:tcPr>
            <w:tcW w:w="283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1"/>
              <w:ind w:left="-1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1"/>
              <w:ind w:left="-1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98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1"/>
              <w:ind w:left="-1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2832" w:type="dxa"/>
            <w:tcBorders/>
          </w:tcPr>
          <w:p>
            <w:pPr>
              <w:pStyle w:val="Normal1"/>
              <w:ind w:left="-1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(подпись)</w:t>
            </w:r>
          </w:p>
        </w:tc>
        <w:tc>
          <w:tcPr>
            <w:tcW w:w="1279" w:type="dxa"/>
            <w:tcBorders/>
          </w:tcPr>
          <w:p>
            <w:pPr>
              <w:pStyle w:val="Normal1"/>
              <w:ind w:left="-1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989" w:type="dxa"/>
            <w:tcBorders/>
          </w:tcPr>
          <w:p>
            <w:pPr>
              <w:pStyle w:val="Normal1"/>
              <w:ind w:left="-1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(Ф.И.О.)</w:t>
            </w:r>
          </w:p>
        </w:tc>
      </w:tr>
    </w:tbl>
    <w:p>
      <w:pPr>
        <w:pStyle w:val="Normal1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</w:r>
    </w:p>
    <w:tbl>
      <w:tblPr>
        <w:tblW w:w="9100" w:type="dxa"/>
        <w:jc w:val="left"/>
        <w:tblInd w:w="623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2832"/>
        <w:gridCol w:w="1279"/>
        <w:gridCol w:w="4989"/>
      </w:tblGrid>
      <w:tr>
        <w:trPr>
          <w:cantSplit w:val="true"/>
        </w:trPr>
        <w:tc>
          <w:tcPr>
            <w:tcW w:w="283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1"/>
              <w:ind w:left="-1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1"/>
              <w:ind w:left="-1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98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1"/>
              <w:ind w:left="-1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2832" w:type="dxa"/>
            <w:tcBorders/>
          </w:tcPr>
          <w:p>
            <w:pPr>
              <w:pStyle w:val="Normal1"/>
              <w:ind w:left="-1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(подпись)</w:t>
            </w:r>
          </w:p>
        </w:tc>
        <w:tc>
          <w:tcPr>
            <w:tcW w:w="1279" w:type="dxa"/>
            <w:tcBorders/>
          </w:tcPr>
          <w:p>
            <w:pPr>
              <w:pStyle w:val="Normal1"/>
              <w:ind w:left="-1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989" w:type="dxa"/>
            <w:tcBorders/>
          </w:tcPr>
          <w:p>
            <w:pPr>
              <w:pStyle w:val="Normal1"/>
              <w:ind w:left="-1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(Ф.И.О.)</w:t>
            </w:r>
          </w:p>
        </w:tc>
      </w:tr>
    </w:tbl>
    <w:p>
      <w:pPr>
        <w:pStyle w:val="Normal1"/>
        <w:rPr/>
      </w:pPr>
      <w:r>
        <w:rPr/>
      </w:r>
    </w:p>
    <w:p>
      <w:pPr>
        <w:sectPr>
          <w:headerReference w:type="default" r:id="rId9"/>
          <w:headerReference w:type="first" r:id="rId10"/>
          <w:footnotePr>
            <w:numFmt w:val="decimal"/>
          </w:footnotePr>
          <w:type w:val="nextPage"/>
          <w:pgSz w:w="11906" w:h="16838"/>
          <w:pgMar w:left="1701" w:right="567" w:gutter="0" w:header="0" w:top="57" w:footer="0" w:bottom="1134"/>
          <w:pgNumType w:fmt="decimal"/>
          <w:formProt w:val="false"/>
          <w:textDirection w:val="lrTb"/>
          <w:docGrid w:type="default" w:linePitch="360" w:charSpace="0"/>
        </w:sectPr>
        <w:pStyle w:val="Normal1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Tempora LGC Uni" w:hAnsi="Tempora LGC Uni" w:eastAsia="Tahoma" w:cs="Lohit Devanagari"/>
          <w:sz w:val="24"/>
          <w:szCs w:val="24"/>
          <w:lang w:val="ru-RU" w:eastAsia="zh-CN" w:bidi="hi-IN"/>
        </w:rPr>
      </w:pPr>
      <w:r>
        <w:rPr>
          <w:rFonts w:eastAsia="Times New Roman" w:cs="Times New Roman"/>
          <w:sz w:val="28"/>
          <w:szCs w:val="24"/>
          <w:lang w:val="ru-RU" w:eastAsia="zh-CN" w:bidi="hi-IN"/>
        </w:rPr>
        <w:t xml:space="preserve">Приложение № 4 к Административному регламенту, утвержденному постановлением Администрации Вилючинского городского округа от  </w:t>
      </w:r>
    </w:p>
    <w:p>
      <w:pPr>
        <w:pStyle w:val="Normal"/>
        <w:widowControl w:val="false"/>
        <w:rPr>
          <w:rFonts w:ascii="Tempora LGC Uni" w:hAnsi="Tempora LGC Uni" w:eastAsia="Tahoma" w:cs="Lohit Devanagari"/>
          <w:sz w:val="24"/>
          <w:szCs w:val="24"/>
          <w:lang w:val="ru-RU" w:eastAsia="zh-CN" w:bidi="hi-IN"/>
        </w:rPr>
      </w:pPr>
      <w:r>
        <w:rPr>
          <w:rFonts w:eastAsia="Tahoma" w:cs="Lohit Devanagari" w:ascii="Tempora LGC Uni" w:hAnsi="Tempora LGC Uni"/>
          <w:sz w:val="28"/>
          <w:szCs w:val="24"/>
          <w:lang w:val="ru-RU" w:eastAsia="zh-CN" w:bidi="hi-IN"/>
        </w:rPr>
        <w:t xml:space="preserve"> </w:t>
      </w:r>
    </w:p>
    <w:p>
      <w:pPr>
        <w:pStyle w:val="Heading1"/>
        <w:widowControl w:val="false"/>
        <w:numPr>
          <w:ilvl w:val="0"/>
          <w:numId w:val="7"/>
        </w:numPr>
        <w:suppressAutoHyphens w:val="true"/>
        <w:bidi w:val="0"/>
        <w:spacing w:before="1" w:after="0"/>
        <w:ind w:hanging="0" w:left="0" w:right="0"/>
        <w:jc w:val="center"/>
        <w:rPr>
          <w:b w:val="false"/>
          <w:bCs w:val="false"/>
        </w:rPr>
      </w:pPr>
      <w:r>
        <w:rPr>
          <w:b w:val="false"/>
          <w:bCs w:val="false"/>
        </w:rPr>
        <w:t>Форма решения об отказе в приеме документов, необходимых для предоставления услуги/предоставления услуги</w:t>
      </w:r>
    </w:p>
    <w:p>
      <w:pPr>
        <w:pStyle w:val="BodyText2"/>
        <w:spacing w:before="10" w:after="0"/>
        <w:rPr>
          <w:b w:val="false"/>
          <w:bCs w:val="false"/>
          <w:sz w:val="20"/>
        </w:rPr>
      </w:pPr>
      <w:r>
        <w:rPr>
          <w:b w:val="false"/>
          <w:bCs w:val="false"/>
          <w:sz w:val="20"/>
        </w:rPr>
      </w:r>
    </w:p>
    <w:p>
      <w:pPr>
        <w:pStyle w:val="Normal2"/>
        <w:spacing w:before="9" w:after="0"/>
        <w:ind w:hanging="3793" w:left="4512" w:right="718"/>
        <w:jc w:val="center"/>
        <w:rPr>
          <w:sz w:val="20"/>
        </w:rPr>
      </w:pPr>
      <w:r>
        <w:rPr>
          <w:sz w:val="18"/>
        </w:rPr>
        <w:t>(наименование органа местного</w:t>
      </w:r>
      <w:r>
        <w:rPr>
          <w:spacing w:val="-42"/>
          <w:sz w:val="18"/>
        </w:rPr>
        <w:t xml:space="preserve"> </w:t>
      </w:r>
      <w:r>
        <w:rPr>
          <w:sz w:val="18"/>
        </w:rPr>
        <w:t>самоуправления)</w:t>
      </w:r>
    </w:p>
    <w:p>
      <w:pPr>
        <w:pStyle w:val="BodyText2"/>
        <w:rPr>
          <w:sz w:val="20"/>
        </w:rPr>
      </w:pPr>
      <w:r>
        <w:rPr>
          <w:sz w:val="20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2"/>
        <w:gridCol w:w="5102"/>
      </w:tblGrid>
      <w:tr>
        <w:trPr/>
        <w:tc>
          <w:tcPr>
            <w:tcW w:w="5102" w:type="dxa"/>
            <w:tcBorders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5102" w:type="dxa"/>
            <w:tcBorders>
              <w:bottom w:val="single" w:sz="4" w:space="0" w:color="000000"/>
            </w:tcBorders>
          </w:tcPr>
          <w:p>
            <w:pPr>
              <w:pStyle w:val="Normal2"/>
              <w:widowControl w:val="false"/>
              <w:suppressAutoHyphens w:val="true"/>
              <w:bidi w:val="0"/>
              <w:spacing w:before="136" w:after="0"/>
              <w:ind w:hanging="0" w:left="0" w:right="227"/>
              <w:jc w:val="left"/>
              <w:rPr>
                <w:sz w:val="24"/>
              </w:rPr>
            </w:pPr>
            <w:r>
              <w:rPr>
                <w:sz w:val="24"/>
              </w:rPr>
              <w:t>ФИО заявителя</w:t>
            </w:r>
          </w:p>
        </w:tc>
      </w:tr>
      <w:tr>
        <w:trPr/>
        <w:tc>
          <w:tcPr>
            <w:tcW w:w="5102" w:type="dxa"/>
            <w:tcBorders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5102" w:type="dxa"/>
            <w:tcBorders>
              <w:bottom w:val="single" w:sz="4" w:space="0" w:color="000000"/>
            </w:tcBorders>
          </w:tcPr>
          <w:p>
            <w:pPr>
              <w:pStyle w:val="Normal2"/>
              <w:widowControl w:val="false"/>
              <w:tabs>
                <w:tab w:val="clear" w:pos="1134"/>
                <w:tab w:val="left" w:pos="675" w:leader="none"/>
              </w:tabs>
              <w:suppressAutoHyphens w:val="true"/>
              <w:bidi w:val="0"/>
              <w:spacing w:before="136" w:after="0"/>
              <w:ind w:hanging="0" w:left="57" w:right="57"/>
              <w:jc w:val="left"/>
              <w:rPr/>
            </w:pPr>
            <w:r>
              <w:rPr/>
              <w:t>Полное наименование ЮЛ — заявителя</w:t>
            </w:r>
          </w:p>
        </w:tc>
      </w:tr>
      <w:tr>
        <w:trPr/>
        <w:tc>
          <w:tcPr>
            <w:tcW w:w="5102" w:type="dxa"/>
            <w:tcBorders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5102" w:type="dxa"/>
            <w:tcBorders>
              <w:bottom w:val="single" w:sz="4" w:space="0" w:color="000000"/>
            </w:tcBorders>
          </w:tcPr>
          <w:p>
            <w:pPr>
              <w:pStyle w:val="Normal2"/>
              <w:widowControl w:val="false"/>
              <w:tabs>
                <w:tab w:val="clear" w:pos="1134"/>
                <w:tab w:val="left" w:pos="688" w:leader="none"/>
              </w:tabs>
              <w:suppressAutoHyphens w:val="true"/>
              <w:bidi w:val="0"/>
              <w:spacing w:before="136" w:after="0"/>
              <w:ind w:hanging="0" w:left="0" w:right="227"/>
              <w:jc w:val="left"/>
              <w:rPr>
                <w:sz w:val="24"/>
              </w:rPr>
            </w:pPr>
            <w:r>
              <w:rPr>
                <w:sz w:val="24"/>
              </w:rPr>
              <w:t>ОГРН заявителя ЮЛ</w:t>
            </w:r>
          </w:p>
        </w:tc>
      </w:tr>
      <w:tr>
        <w:trPr/>
        <w:tc>
          <w:tcPr>
            <w:tcW w:w="5102" w:type="dxa"/>
            <w:tcBorders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5102" w:type="dxa"/>
            <w:tcBorders>
              <w:bottom w:val="single" w:sz="4" w:space="0" w:color="000000"/>
            </w:tcBorders>
          </w:tcPr>
          <w:p>
            <w:pPr>
              <w:pStyle w:val="Normal2"/>
              <w:widowControl w:val="false"/>
              <w:tabs>
                <w:tab w:val="clear" w:pos="1134"/>
                <w:tab w:val="left" w:pos="688" w:leader="none"/>
              </w:tabs>
              <w:suppressAutoHyphens w:val="true"/>
              <w:bidi w:val="0"/>
              <w:spacing w:before="136" w:after="0"/>
              <w:ind w:hanging="0" w:left="0" w:right="227"/>
              <w:jc w:val="left"/>
              <w:rPr>
                <w:sz w:val="24"/>
              </w:rPr>
            </w:pPr>
            <w:r>
              <w:rPr>
                <w:sz w:val="24"/>
              </w:rPr>
              <w:t>ОГРНИП заявителя ИП</w:t>
            </w:r>
          </w:p>
        </w:tc>
      </w:tr>
      <w:tr>
        <w:trPr/>
        <w:tc>
          <w:tcPr>
            <w:tcW w:w="5102" w:type="dxa"/>
            <w:tcBorders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5102" w:type="dxa"/>
            <w:tcBorders>
              <w:bottom w:val="single" w:sz="4" w:space="0" w:color="000000"/>
            </w:tcBorders>
          </w:tcPr>
          <w:p>
            <w:pPr>
              <w:pStyle w:val="Normal2"/>
              <w:widowControl w:val="false"/>
              <w:tabs>
                <w:tab w:val="clear" w:pos="1134"/>
                <w:tab w:val="left" w:pos="688" w:leader="none"/>
              </w:tabs>
              <w:suppressAutoHyphens w:val="true"/>
              <w:bidi w:val="0"/>
              <w:spacing w:before="136" w:after="0"/>
              <w:ind w:hanging="0" w:left="0" w:right="227"/>
              <w:jc w:val="left"/>
              <w:rPr>
                <w:sz w:val="24"/>
              </w:rPr>
            </w:pPr>
            <w:r>
              <w:rPr>
                <w:sz w:val="24"/>
              </w:rPr>
              <w:t>ОГРН заявителя ЮЛ</w:t>
            </w:r>
          </w:p>
        </w:tc>
      </w:tr>
    </w:tbl>
    <w:p>
      <w:pPr>
        <w:pStyle w:val="Normal2"/>
        <w:spacing w:lineRule="exact" w:line="274" w:before="90" w:after="0"/>
        <w:ind w:left="124" w:right="131"/>
        <w:jc w:val="center"/>
        <w:rPr>
          <w:b w:val="false"/>
          <w:bCs w:val="false"/>
        </w:rPr>
      </w:pPr>
      <w:r>
        <w:rPr>
          <w:b w:val="false"/>
          <w:bCs w:val="false"/>
          <w:sz w:val="24"/>
        </w:rPr>
        <w:t>Решение об отказе</w:t>
      </w:r>
    </w:p>
    <w:tbl>
      <w:tblPr>
        <w:tblW w:w="1020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637"/>
        <w:gridCol w:w="465"/>
        <w:gridCol w:w="1010"/>
        <w:gridCol w:w="4087"/>
      </w:tblGrid>
      <w:tr>
        <w:trPr/>
        <w:tc>
          <w:tcPr>
            <w:tcW w:w="4637" w:type="dxa"/>
            <w:tcBorders/>
          </w:tcPr>
          <w:p>
            <w:pPr>
              <w:pStyle w:val="Style21"/>
              <w:rPr/>
            </w:pPr>
            <w:r>
              <w:rPr/>
              <w:t>от «_____» ____________20___г.</w:t>
            </w:r>
          </w:p>
        </w:tc>
        <w:tc>
          <w:tcPr>
            <w:tcW w:w="465" w:type="dxa"/>
            <w:tcBorders/>
          </w:tcPr>
          <w:p>
            <w:pPr>
              <w:pStyle w:val="Style21"/>
              <w:rPr/>
            </w:pPr>
            <w:r>
              <w:rPr/>
              <w:t>№</w:t>
            </w:r>
          </w:p>
        </w:tc>
        <w:tc>
          <w:tcPr>
            <w:tcW w:w="1010" w:type="dxa"/>
            <w:tcBorders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4087" w:type="dxa"/>
            <w:tcBorders>
              <w:bottom w:val="single" w:sz="4" w:space="0" w:color="000000"/>
            </w:tcBorders>
          </w:tcPr>
          <w:p>
            <w:pPr>
              <w:pStyle w:val="Style21"/>
              <w:rPr/>
            </w:pPr>
            <w:r>
              <w:rPr/>
            </w:r>
          </w:p>
        </w:tc>
      </w:tr>
    </w:tbl>
    <w:p>
      <w:pPr>
        <w:pStyle w:val="Normal2"/>
        <w:spacing w:lineRule="exact" w:line="274" w:before="90" w:after="0"/>
        <w:ind w:left="124" w:right="131"/>
        <w:jc w:val="center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2"/>
        <w:widowControl w:val="false"/>
        <w:tabs>
          <w:tab w:val="clear" w:pos="1134"/>
          <w:tab w:val="left" w:pos="7089" w:leader="none"/>
          <w:tab w:val="left" w:pos="8850" w:leader="none"/>
        </w:tabs>
        <w:suppressAutoHyphens w:val="true"/>
        <w:bidi w:val="0"/>
        <w:spacing w:before="0" w:after="0"/>
        <w:ind w:firstLine="850" w:left="0" w:right="0"/>
        <w:jc w:val="both"/>
        <w:rPr/>
      </w:pPr>
      <w:r>
        <w:rPr>
          <w:sz w:val="26"/>
        </w:rPr>
        <w:t>По результатам рассмотрения заявления от «____» _____________202 __ г. № ______________ на предоставление муниципальной услуги «Наименование муниципальной услуги» принято решение об отказе в приеме документов/предоставлении услуги по следующим основаниям:</w:t>
      </w:r>
    </w:p>
    <w:p>
      <w:pPr>
        <w:pStyle w:val="Normal2"/>
        <w:widowControl w:val="false"/>
        <w:tabs>
          <w:tab w:val="clear" w:pos="1134"/>
          <w:tab w:val="left" w:pos="7089" w:leader="none"/>
          <w:tab w:val="left" w:pos="8850" w:leader="none"/>
        </w:tabs>
        <w:suppressAutoHyphens w:val="true"/>
        <w:bidi w:val="0"/>
        <w:spacing w:before="0" w:after="0"/>
        <w:ind w:firstLine="850" w:left="0" w:right="0"/>
        <w:jc w:val="both"/>
        <w:rPr>
          <w:sz w:val="26"/>
        </w:rPr>
      </w:pPr>
      <w:r>
        <w:rPr>
          <w:sz w:val="26"/>
        </w:rPr>
      </w:r>
    </w:p>
    <w:p>
      <w:pPr>
        <w:pStyle w:val="Normal2"/>
        <w:widowControl w:val="false"/>
        <w:tabs>
          <w:tab w:val="clear" w:pos="1134"/>
          <w:tab w:val="left" w:pos="7089" w:leader="none"/>
          <w:tab w:val="left" w:pos="8850" w:leader="none"/>
        </w:tabs>
        <w:suppressAutoHyphens w:val="true"/>
        <w:bidi w:val="0"/>
        <w:spacing w:lineRule="auto" w:line="240" w:before="0" w:after="0"/>
        <w:ind w:firstLine="850" w:left="0" w:right="0"/>
        <w:jc w:val="left"/>
        <w:rPr/>
      </w:pPr>
      <w:r>
        <w:rPr>
          <w:sz w:val="26"/>
          <w:u w:val="none"/>
        </w:rPr>
        <w:t>Разъяснение причин отказа:</w:t>
      </w:r>
    </w:p>
    <w:p>
      <w:pPr>
        <w:pStyle w:val="Normal2"/>
        <w:widowControl w:val="false"/>
        <w:tabs>
          <w:tab w:val="clear" w:pos="1134"/>
          <w:tab w:val="left" w:pos="7089" w:leader="none"/>
          <w:tab w:val="left" w:pos="8850" w:leader="none"/>
        </w:tabs>
        <w:suppressAutoHyphens w:val="true"/>
        <w:bidi w:val="0"/>
        <w:spacing w:before="0" w:after="0"/>
        <w:ind w:firstLine="850" w:left="0" w:right="0"/>
        <w:jc w:val="left"/>
        <w:rPr>
          <w:sz w:val="26"/>
          <w:u w:val="none"/>
        </w:rPr>
      </w:pPr>
      <w:r>
        <w:rPr>
          <w:sz w:val="26"/>
          <w:u w:val="none"/>
        </w:rPr>
      </w:r>
    </w:p>
    <w:p>
      <w:pPr>
        <w:pStyle w:val="Normal2"/>
        <w:widowControl w:val="false"/>
        <w:tabs>
          <w:tab w:val="clear" w:pos="1134"/>
          <w:tab w:val="left" w:pos="7089" w:leader="none"/>
          <w:tab w:val="left" w:pos="8850" w:leader="none"/>
        </w:tabs>
        <w:suppressAutoHyphens w:val="true"/>
        <w:bidi w:val="0"/>
        <w:spacing w:before="0" w:after="0"/>
        <w:ind w:firstLine="850" w:left="0" w:right="0"/>
        <w:jc w:val="both"/>
        <w:rPr/>
      </w:pPr>
      <w:r>
        <w:rPr>
          <w:sz w:val="26"/>
          <w:u w:val="none"/>
        </w:rPr>
        <w:t>Дополнительная информация:</w:t>
      </w:r>
    </w:p>
    <w:p>
      <w:pPr>
        <w:pStyle w:val="Normal2"/>
        <w:widowControl w:val="false"/>
        <w:tabs>
          <w:tab w:val="clear" w:pos="1134"/>
          <w:tab w:val="left" w:pos="7089" w:leader="none"/>
          <w:tab w:val="left" w:pos="8850" w:leader="none"/>
        </w:tabs>
        <w:suppressAutoHyphens w:val="true"/>
        <w:bidi w:val="0"/>
        <w:spacing w:before="0" w:after="0"/>
        <w:ind w:firstLine="850" w:left="0" w:right="0"/>
        <w:jc w:val="both"/>
        <w:rPr>
          <w:sz w:val="26"/>
          <w:u w:val="none"/>
        </w:rPr>
      </w:pPr>
      <w:r>
        <w:rPr>
          <w:sz w:val="26"/>
          <w:u w:val="none"/>
        </w:rPr>
      </w:r>
    </w:p>
    <w:p>
      <w:pPr>
        <w:pStyle w:val="Normal2"/>
        <w:widowControl w:val="false"/>
        <w:tabs>
          <w:tab w:val="clear" w:pos="1134"/>
          <w:tab w:val="left" w:pos="7089" w:leader="none"/>
          <w:tab w:val="left" w:pos="8850" w:leader="none"/>
        </w:tabs>
        <w:suppressAutoHyphens w:val="true"/>
        <w:bidi w:val="0"/>
        <w:spacing w:before="0" w:after="0"/>
        <w:ind w:firstLine="850" w:left="0" w:right="0"/>
        <w:jc w:val="both"/>
        <w:rPr/>
      </w:pPr>
      <w:r>
        <w:rPr>
          <w:sz w:val="26"/>
          <w:u w:val="none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>
      <w:pPr>
        <w:pStyle w:val="Normal2"/>
        <w:widowControl w:val="false"/>
        <w:tabs>
          <w:tab w:val="clear" w:pos="1134"/>
          <w:tab w:val="left" w:pos="7089" w:leader="none"/>
          <w:tab w:val="left" w:pos="8850" w:leader="none"/>
        </w:tabs>
        <w:suppressAutoHyphens w:val="true"/>
        <w:bidi w:val="0"/>
        <w:spacing w:before="0" w:after="0"/>
        <w:ind w:firstLine="850" w:left="0" w:right="0"/>
        <w:jc w:val="both"/>
        <w:rPr/>
      </w:pPr>
      <w:r>
        <w:rPr>
          <w:sz w:val="26"/>
          <w:u w:val="none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>
      <w:pPr>
        <w:pStyle w:val="Normal2"/>
        <w:widowControl w:val="false"/>
        <w:tabs>
          <w:tab w:val="clear" w:pos="1134"/>
          <w:tab w:val="left" w:pos="7089" w:leader="none"/>
          <w:tab w:val="left" w:pos="8850" w:leader="none"/>
        </w:tabs>
        <w:suppressAutoHyphens w:val="true"/>
        <w:bidi w:val="0"/>
        <w:spacing w:before="0" w:after="0"/>
        <w:ind w:firstLine="850" w:left="0" w:right="0"/>
        <w:jc w:val="both"/>
        <w:rPr/>
      </w:pPr>
      <w:r>
        <w:rPr/>
      </w:r>
    </w:p>
    <w:p>
      <w:pPr>
        <w:pStyle w:val="Normal2"/>
        <w:tabs>
          <w:tab w:val="clear" w:pos="1134"/>
          <w:tab w:val="left" w:pos="9882" w:leader="none"/>
        </w:tabs>
        <w:spacing w:lineRule="exact" w:line="298" w:before="1" w:after="0"/>
        <w:ind w:left="137" w:right="0"/>
        <w:rPr>
          <w:sz w:val="26"/>
        </w:rPr>
      </w:pPr>
      <w:r>
        <w:rPr>
          <w:sz w:val="26"/>
        </w:rPr>
      </w:r>
    </w:p>
    <w:p>
      <w:pPr>
        <w:sectPr>
          <w:headerReference w:type="default" r:id="rId11"/>
          <w:headerReference w:type="first" r:id="rId12"/>
          <w:footnotePr>
            <w:numFmt w:val="decimal"/>
          </w:footnotePr>
          <w:type w:val="nextPage"/>
          <w:pgSz w:w="11906" w:h="16838"/>
          <w:pgMar w:left="1134" w:right="567" w:gutter="0" w:header="431" w:top="851" w:footer="0" w:bottom="851"/>
          <w:pgNumType w:fmt="decimal"/>
          <w:formProt w:val="false"/>
          <w:textDirection w:val="lrTb"/>
          <w:docGrid w:type="default" w:linePitch="100" w:charSpace="8192"/>
        </w:sectPr>
        <w:pStyle w:val="Normal2"/>
        <w:tabs>
          <w:tab w:val="clear" w:pos="1134"/>
          <w:tab w:val="left" w:pos="6277" w:leader="none"/>
        </w:tabs>
        <w:spacing w:before="1" w:after="0"/>
        <w:ind w:left="137" w:right="0"/>
        <w:rPr/>
      </w:pPr>
      <w:r>
        <w:rPr>
          <w:sz w:val="26"/>
        </w:rPr>
        <w:t>Должность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уполномоченного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лица (расшифровка подписи)</w:t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Calibri" w:hAnsi="Calibri" w:eastAsia="Calibri" w:cs="" w:asciiTheme="minorHAnsi" w:cstheme="minorBidi" w:eastAsiaTheme="minorHAnsi" w:hAnsiTheme="minorHAnsi"/>
          <w:color w:val="auto"/>
          <w:sz w:val="22"/>
          <w:szCs w:val="22"/>
          <w:lang w:val="ru-RU" w:eastAsia="en-US" w:bidi="ar-SA"/>
        </w:rPr>
      </w:pPr>
      <w:r>
        <w:rPr>
          <w:rFonts w:eastAsia="Times New Roman" w:cs="Times New Roman"/>
          <w:color w:val="auto"/>
          <w:sz w:val="28"/>
          <w:szCs w:val="22"/>
          <w:lang w:val="ru-RU" w:eastAsia="en-US" w:bidi="ar-SA"/>
        </w:rPr>
        <w:t xml:space="preserve">Приложение № 5 к Административному регламенту, утвержденному постановлением Администрации Вилючинского городского округа от  </w:t>
      </w:r>
    </w:p>
    <w:p>
      <w:pPr>
        <w:pStyle w:val="Normal"/>
        <w:widowControl w:val="false"/>
        <w:rPr>
          <w:rFonts w:ascii="Calibri" w:hAnsi="Calibri" w:eastAsia="Calibri" w:cs="" w:asciiTheme="minorHAnsi" w:cstheme="minorBidi" w:eastAsiaTheme="minorHAnsi" w:hAnsiTheme="minorHAnsi"/>
          <w:color w:val="auto"/>
          <w:sz w:val="22"/>
          <w:szCs w:val="22"/>
          <w:lang w:val="ru-RU" w:eastAsia="en-US" w:bidi="ar-SA"/>
        </w:rPr>
      </w:pPr>
      <w:r>
        <w:rPr>
          <w:rFonts w:eastAsia="Calibri" w:cs="" w:asciiTheme="minorBidi" w:cstheme="minorBidi" w:eastAsiaTheme="minorHAnsi" w:hAnsiTheme="minorBidi"/>
          <w:color w:val="auto"/>
          <w:sz w:val="28"/>
          <w:szCs w:val="22"/>
          <w:lang w:val="ru-RU" w:eastAsia="en-US" w:bidi="ar-SA"/>
        </w:rPr>
        <w:t xml:space="preserve"> </w:t>
      </w:r>
    </w:p>
    <w:p>
      <w:pPr>
        <w:pStyle w:val="Normal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Угловой штамп</w:t>
      </w:r>
    </w:p>
    <w:p>
      <w:pPr>
        <w:pStyle w:val="Normal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Органа, выдавшего документ                                                                          Адресат </w:t>
      </w:r>
    </w:p>
    <w:p>
      <w:pPr>
        <w:pStyle w:val="Normal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071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9071"/>
      </w:tblGrid>
      <w:tr>
        <w:trPr/>
        <w:tc>
          <w:tcPr>
            <w:tcW w:w="9071" w:type="dxa"/>
            <w:tcBorders/>
          </w:tcPr>
          <w:p>
            <w:pPr>
              <w:pStyle w:val="ConsPlusNormal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Уведомление об исправлении опечаток и (или) ошибок, допущенных в документах, выданных заявителю по результатам предоставления Услуги</w:t>
            </w:r>
          </w:p>
        </w:tc>
      </w:tr>
    </w:tbl>
    <w:p>
      <w:pPr>
        <w:pStyle w:val="ConsPlusNormal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07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4535"/>
        <w:gridCol w:w="4534"/>
      </w:tblGrid>
      <w:tr>
        <w:trPr/>
        <w:tc>
          <w:tcPr>
            <w:tcW w:w="4535" w:type="dxa"/>
            <w:tcBorders/>
          </w:tcPr>
          <w:p>
            <w:pPr>
              <w:pStyle w:val="ConsPlusNormal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4" w:type="dxa"/>
            <w:tcBorders/>
          </w:tcPr>
          <w:p>
            <w:pPr>
              <w:pStyle w:val="ConsPlusNormal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ConsPlusNormal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На основании запроса ______________________________________________________,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cs="Times New Roman" w:ascii="Times New Roman" w:hAnsi="Times New Roman"/>
          <w:sz w:val="22"/>
          <w:szCs w:val="24"/>
        </w:rPr>
        <w:t xml:space="preserve">                                                      </w:t>
      </w:r>
      <w:r>
        <w:rPr>
          <w:rFonts w:cs="Times New Roman" w:ascii="Times New Roman" w:hAnsi="Times New Roman"/>
          <w:sz w:val="22"/>
          <w:szCs w:val="24"/>
        </w:rPr>
        <w:t>(номер и дата запроса на предоставление Услуги)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поступившего на рассмотрение 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cs="Times New Roman" w:ascii="Times New Roman" w:hAnsi="Times New Roman"/>
          <w:sz w:val="22"/>
          <w:szCs w:val="24"/>
        </w:rPr>
        <w:t xml:space="preserve">                                                                    </w:t>
      </w:r>
      <w:r>
        <w:rPr>
          <w:rFonts w:cs="Times New Roman" w:ascii="Times New Roman" w:hAnsi="Times New Roman"/>
          <w:sz w:val="22"/>
          <w:szCs w:val="24"/>
        </w:rPr>
        <w:t>(указывается дата получения запроса)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соответствии с 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уведомляем Вас об исправлении опечаток и (или) ошибок, допущенных в документах, выданных заявителю по результатам предоставления Услуги.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Сведения в документе ______________________________________________________________________</w:t>
      </w:r>
    </w:p>
    <w:p>
      <w:pPr>
        <w:pStyle w:val="ConsPlusNormal11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</w:t>
      </w:r>
      <w:r>
        <w:rPr>
          <w:rFonts w:cs="Times New Roman" w:ascii="Times New Roman" w:hAnsi="Times New Roman"/>
          <w:sz w:val="24"/>
          <w:szCs w:val="24"/>
        </w:rPr>
        <w:t>(указывается наименование сведений до исправления ошибок и (или) опечаток)</w:t>
      </w:r>
    </w:p>
    <w:p>
      <w:pPr>
        <w:pStyle w:val="ConsPlusNormal11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ConsPlusNormal1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исправлены на _________________________________________________________________</w:t>
      </w:r>
    </w:p>
    <w:p>
      <w:pPr>
        <w:pStyle w:val="ConsPlusNormal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03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3969"/>
        <w:gridCol w:w="1806"/>
        <w:gridCol w:w="3264"/>
      </w:tblGrid>
      <w:tr>
        <w:trPr/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полное наименование должности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инициалы, фамилия</w:t>
            </w:r>
          </w:p>
        </w:tc>
      </w:tr>
      <w:tr>
        <w:trPr/>
        <w:tc>
          <w:tcPr>
            <w:tcW w:w="3969" w:type="dxa"/>
            <w:tcBorders>
              <w:top w:val="single" w:sz="4" w:space="0" w:color="000000"/>
            </w:tcBorders>
          </w:tcPr>
          <w:p>
            <w:pPr>
              <w:pStyle w:val="ConsPlusNormal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70" w:type="dxa"/>
            <w:gridSpan w:val="2"/>
            <w:tcBorders>
              <w:top w:val="single" w:sz="4" w:space="0" w:color="000000"/>
            </w:tcBorders>
          </w:tcPr>
          <w:p>
            <w:pPr>
              <w:pStyle w:val="ConsPlusNormal11"/>
              <w:ind w:left="14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headerReference w:type="default" r:id="rId13"/>
          <w:headerReference w:type="first" r:id="rId14"/>
          <w:footnotePr>
            <w:numFmt w:val="decimal"/>
          </w:footnote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ConsPlusNormal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Calibri" w:hAnsi="Calibri" w:eastAsia="Calibri" w:cs="" w:asciiTheme="minorHAnsi" w:cstheme="minorBidi" w:eastAsiaTheme="minorHAnsi" w:hAnsiTheme="minorHAnsi"/>
          <w:color w:val="auto"/>
          <w:sz w:val="22"/>
          <w:szCs w:val="22"/>
          <w:lang w:val="ru-RU" w:eastAsia="en-US" w:bidi="ar-SA"/>
        </w:rPr>
      </w:pPr>
      <w:r>
        <w:rPr>
          <w:rFonts w:eastAsia="Times New Roman" w:cs="Times New Roman"/>
          <w:color w:val="auto"/>
          <w:sz w:val="28"/>
          <w:szCs w:val="22"/>
          <w:lang w:val="ru-RU" w:eastAsia="en-US" w:bidi="ar-SA"/>
        </w:rPr>
        <w:t xml:space="preserve">Приложение № 6 к Административному регламенту, утвержденному постановлением Администрации Вилючинского городского округа от  </w:t>
      </w:r>
    </w:p>
    <w:p>
      <w:pPr>
        <w:pStyle w:val="Normal"/>
        <w:widowControl w:val="false"/>
        <w:rPr>
          <w:rFonts w:ascii="Calibri" w:hAnsi="Calibri" w:eastAsia="Calibri" w:cs="" w:asciiTheme="minorHAnsi" w:cstheme="minorBidi" w:eastAsiaTheme="minorHAnsi" w:hAnsiTheme="minorHAnsi"/>
          <w:color w:val="auto"/>
          <w:sz w:val="22"/>
          <w:szCs w:val="22"/>
          <w:lang w:val="ru-RU" w:eastAsia="en-US" w:bidi="ar-SA"/>
        </w:rPr>
      </w:pPr>
      <w:r>
        <w:rPr>
          <w:rFonts w:eastAsia="Calibri" w:cs="" w:asciiTheme="minorBidi" w:cstheme="minorBidi" w:eastAsiaTheme="minorHAnsi" w:hAnsiTheme="minorBidi"/>
          <w:color w:val="auto"/>
          <w:sz w:val="28"/>
          <w:szCs w:val="22"/>
          <w:lang w:val="ru-RU" w:eastAsia="en-US" w:bidi="ar-SA"/>
        </w:rPr>
        <w:t xml:space="preserve"> </w:t>
      </w:r>
    </w:p>
    <w:p>
      <w:pPr>
        <w:pStyle w:val="Normal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Угловой штамп</w:t>
      </w:r>
    </w:p>
    <w:p>
      <w:pPr>
        <w:pStyle w:val="Normal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Органа, выдавшего документ                                                                          Адресат </w:t>
      </w:r>
    </w:p>
    <w:p>
      <w:pPr>
        <w:pStyle w:val="Normal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071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9071"/>
      </w:tblGrid>
      <w:tr>
        <w:trPr/>
        <w:tc>
          <w:tcPr>
            <w:tcW w:w="9071" w:type="dxa"/>
            <w:tcBorders/>
          </w:tcPr>
          <w:p>
            <w:pPr>
              <w:pStyle w:val="ConsPlusNormal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Уведомление об отказе в исправлении опечаток и (или) ошибок, допущенных в документах, выданных заявителю по результатам предоставления Услуги</w:t>
            </w:r>
          </w:p>
        </w:tc>
      </w:tr>
    </w:tbl>
    <w:p>
      <w:pPr>
        <w:pStyle w:val="ConsPlusNormal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07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4535"/>
        <w:gridCol w:w="4534"/>
      </w:tblGrid>
      <w:tr>
        <w:trPr/>
        <w:tc>
          <w:tcPr>
            <w:tcW w:w="4535" w:type="dxa"/>
            <w:tcBorders/>
          </w:tcPr>
          <w:p>
            <w:pPr>
              <w:pStyle w:val="ConsPlusNormal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4" w:type="dxa"/>
            <w:tcBorders/>
          </w:tcPr>
          <w:p>
            <w:pPr>
              <w:pStyle w:val="ConsPlusNormal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ConsPlusNormal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На основании запроса ______________________________________________________,</w:t>
      </w:r>
    </w:p>
    <w:p>
      <w:pPr>
        <w:pStyle w:val="ConsPlusNonformat1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cs="Times New Roman" w:ascii="Times New Roman" w:hAnsi="Times New Roman"/>
          <w:sz w:val="22"/>
          <w:szCs w:val="24"/>
        </w:rPr>
        <w:t xml:space="preserve">                                                      </w:t>
      </w:r>
      <w:r>
        <w:rPr>
          <w:rFonts w:cs="Times New Roman" w:ascii="Times New Roman" w:hAnsi="Times New Roman"/>
          <w:sz w:val="22"/>
          <w:szCs w:val="24"/>
        </w:rPr>
        <w:t>(номер и дата запроса на предоставление Услуги)</w:t>
      </w:r>
    </w:p>
    <w:p>
      <w:pPr>
        <w:pStyle w:val="ConsPlusNonforma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поступившего на рассмотрение ________________________________________________,</w:t>
      </w:r>
    </w:p>
    <w:p>
      <w:pPr>
        <w:pStyle w:val="ConsPlusNonformat1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cs="Times New Roman" w:ascii="Times New Roman" w:hAnsi="Times New Roman"/>
          <w:sz w:val="22"/>
          <w:szCs w:val="24"/>
        </w:rPr>
        <w:t xml:space="preserve">                                                                    </w:t>
      </w:r>
      <w:r>
        <w:rPr>
          <w:rFonts w:cs="Times New Roman" w:ascii="Times New Roman" w:hAnsi="Times New Roman"/>
          <w:sz w:val="22"/>
          <w:szCs w:val="24"/>
        </w:rPr>
        <w:t>(указывается дата получения запроса)</w:t>
      </w:r>
    </w:p>
    <w:p>
      <w:pPr>
        <w:pStyle w:val="ConsPlusNonforma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</w:t>
      </w:r>
    </w:p>
    <w:p>
      <w:pPr>
        <w:pStyle w:val="ConsPlusNonforma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соответствии с _______________________________________________________________</w:t>
      </w:r>
    </w:p>
    <w:p>
      <w:pPr>
        <w:pStyle w:val="ConsPlusNonforma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уведомляем Вас об отказе в исправлении опечаток и (или) ошибок, допущенных в документах, выданных заявителю по результатам предоставления Услуги, в связи с тем, что _____________________________________________________________________________.</w:t>
      </w:r>
    </w:p>
    <w:p>
      <w:pPr>
        <w:pStyle w:val="ConsPlusNonformat1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(указываются причины отказа)</w:t>
      </w:r>
    </w:p>
    <w:p>
      <w:pPr>
        <w:pStyle w:val="ConsPlusNonforma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Уведомление об отказе в исправлении опечаток и(или) ошибок, допущенных в документах, выданных заявителю по результатам предоставления Услуги, в соответствии с ____________________________________________________может быть обжалован в суде.</w:t>
      </w:r>
    </w:p>
    <w:p>
      <w:pPr>
        <w:pStyle w:val="ConsPlusNormal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039" w:type="dxa"/>
        <w:jc w:val="left"/>
        <w:tblInd w:w="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3969"/>
        <w:gridCol w:w="1806"/>
        <w:gridCol w:w="3264"/>
      </w:tblGrid>
      <w:tr>
        <w:trPr/>
        <w:tc>
          <w:tcPr>
            <w:tcW w:w="3969" w:type="dxa"/>
            <w:tcBorders/>
          </w:tcPr>
          <w:p>
            <w:pPr>
              <w:pStyle w:val="ConsPlusNormal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6" w:type="dxa"/>
            <w:tcBorders/>
          </w:tcPr>
          <w:p>
            <w:pPr>
              <w:pStyle w:val="ConsPlusNormal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4" w:type="dxa"/>
            <w:tcBorders/>
          </w:tcPr>
          <w:p>
            <w:pPr>
              <w:pStyle w:val="ConsPlusNormal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69" w:type="dxa"/>
            <w:tcBorders/>
          </w:tcPr>
          <w:p>
            <w:pPr>
              <w:pStyle w:val="ConsPlusNormal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полное наименование должности</w:t>
            </w:r>
          </w:p>
        </w:tc>
        <w:tc>
          <w:tcPr>
            <w:tcW w:w="1806" w:type="dxa"/>
            <w:tcBorders/>
          </w:tcPr>
          <w:p>
            <w:pPr>
              <w:pStyle w:val="ConsPlusNormal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264" w:type="dxa"/>
            <w:tcBorders/>
          </w:tcPr>
          <w:p>
            <w:pPr>
              <w:pStyle w:val="ConsPlusNormal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инициалы, фамилия</w:t>
            </w:r>
          </w:p>
        </w:tc>
      </w:tr>
      <w:tr>
        <w:trPr/>
        <w:tc>
          <w:tcPr>
            <w:tcW w:w="3969" w:type="dxa"/>
            <w:tcBorders/>
          </w:tcPr>
          <w:p>
            <w:pPr>
              <w:pStyle w:val="ConsPlusNormal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70" w:type="dxa"/>
            <w:gridSpan w:val="2"/>
            <w:tcBorders/>
          </w:tcPr>
          <w:p>
            <w:pPr>
              <w:pStyle w:val="ConsPlusNormal2"/>
              <w:ind w:left="14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ConsPlusNormal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4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default" r:id="rId15"/>
      <w:headerReference w:type="first" r:id="rId16"/>
      <w:footnotePr>
        <w:numFmt w:val="decimal"/>
      </w:footnote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Courier New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Segoe UI Symbo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3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  <w:footnote w:id="4">
    <w:p>
      <w:pPr>
        <w:pStyle w:val="Normal"/>
        <w:jc w:val="both"/>
        <w:rPr>
          <w:szCs w:val="20"/>
        </w:rPr>
      </w:pPr>
      <w:r>
        <w:rPr>
          <w:rStyle w:val="Style16"/>
        </w:rPr>
        <w:footnoteRef/>
      </w:r>
      <w:r>
        <w:rPr>
          <w:szCs w:val="20"/>
        </w:rPr>
        <w:t xml:space="preserve"> </w:t>
      </w:r>
      <w:r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электронного взаимодействия».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4933227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67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62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64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65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66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32"/>
      <w:numFmt w:val="bullet"/>
      <w:lvlText w:val="-"/>
      <w:lvlJc w:val="left"/>
      <w:pPr>
        <w:tabs>
          <w:tab w:val="num" w:pos="0"/>
        </w:tabs>
        <w:ind w:left="1446" w:hanging="369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40"/>
  <w:defaultTabStop w:val="1134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955f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Heading1" w:customStyle="1">
    <w:name w:val="Heading 1"/>
    <w:basedOn w:val="Normal2"/>
    <w:qFormat/>
    <w:pPr>
      <w:numPr>
        <w:ilvl w:val="0"/>
        <w:numId w:val="2"/>
      </w:numPr>
      <w:ind w:hanging="0" w:left="124" w:right="0"/>
      <w:jc w:val="center"/>
      <w:outlineLvl w:val="0"/>
    </w:pPr>
    <w:rPr>
      <w:b/>
      <w:bCs/>
      <w:sz w:val="28"/>
      <w:szCs w:val="28"/>
    </w:rPr>
  </w:style>
  <w:style w:type="paragraph" w:styleId="Heading2" w:customStyle="1">
    <w:name w:val="Heading 2"/>
    <w:basedOn w:val="Normal3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Heading3" w:customStyle="1">
    <w:name w:val="Heading 3"/>
    <w:basedOn w:val="Normal4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Heading4">
    <w:name w:val="Heading 4"/>
    <w:uiPriority w:val="9"/>
    <w:unhideWhenUsed/>
    <w:qFormat/>
    <w:rsid w:val="005f433e"/>
    <w:pPr>
      <w:keepNext w:val="true"/>
      <w:keepLines/>
      <w:widowControl/>
      <w:bidi w:val="0"/>
      <w:spacing w:lineRule="auto" w:line="259" w:before="200" w:after="0"/>
      <w:jc w:val="left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uiPriority w:val="9"/>
    <w:unhideWhenUsed/>
    <w:qFormat/>
    <w:rsid w:val="005f433e"/>
    <w:pPr>
      <w:keepNext w:val="true"/>
      <w:keepLines/>
      <w:widowControl/>
      <w:bidi w:val="0"/>
      <w:spacing w:lineRule="auto" w:line="259" w:before="200" w:after="0"/>
      <w:jc w:val="left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uiPriority w:val="9"/>
    <w:unhideWhenUsed/>
    <w:qFormat/>
    <w:rsid w:val="005f433e"/>
    <w:pPr>
      <w:keepNext w:val="true"/>
      <w:keepLines/>
      <w:widowControl/>
      <w:bidi w:val="0"/>
      <w:spacing w:lineRule="auto" w:line="259" w:before="200" w:after="0"/>
      <w:jc w:val="left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99"/>
    <w:qFormat/>
    <w:rsid w:val="00c955f6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uiPriority w:val="99"/>
    <w:qFormat/>
    <w:rsid w:val="00c955f6"/>
    <w:rPr>
      <w:rFonts w:ascii="Times New Roman" w:hAnsi="Times New Roman" w:eastAsia="Times New Roman" w:cs="Times New Roman"/>
      <w:sz w:val="20"/>
      <w:szCs w:val="20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c955f6"/>
    <w:rPr>
      <w:rFonts w:ascii="Segoe UI" w:hAnsi="Segoe UI" w:eastAsia="Times New Roman" w:cs="Segoe UI"/>
      <w:sz w:val="18"/>
      <w:szCs w:val="18"/>
    </w:rPr>
  </w:style>
  <w:style w:type="character" w:styleId="Style10" w:customStyle="1">
    <w:name w:val="Тема примечания Знак"/>
    <w:basedOn w:val="Style8"/>
    <w:link w:val="Annotationsubject"/>
    <w:uiPriority w:val="99"/>
    <w:semiHidden/>
    <w:qFormat/>
    <w:rsid w:val="00c955f6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2" w:customStyle="1">
    <w:name w:val="Ниж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3" w:customStyle="1">
    <w:name w:val="Текст концевой сноски Знак"/>
    <w:basedOn w:val="DefaultParagraphFont"/>
    <w:uiPriority w:val="99"/>
    <w:semiHidden/>
    <w:qFormat/>
    <w:rsid w:val="00db21fa"/>
    <w:rPr>
      <w:rFonts w:ascii="Times New Roman" w:hAnsi="Times New Roman" w:eastAsia="Times New Roman" w:cs="Times New Roman"/>
      <w:sz w:val="20"/>
      <w:szCs w:val="20"/>
    </w:rPr>
  </w:style>
  <w:style w:type="character" w:styleId="Style14">
    <w:name w:val="Символ концевой сноски"/>
    <w:basedOn w:val="DefaultParagraphFont"/>
    <w:uiPriority w:val="99"/>
    <w:semiHidden/>
    <w:unhideWhenUsed/>
    <w:qFormat/>
    <w:rsid w:val="00db21fa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5" w:customStyle="1">
    <w:name w:val="Текст сноски Знак"/>
    <w:basedOn w:val="DefaultParagraphFont"/>
    <w:uiPriority w:val="99"/>
    <w:qFormat/>
    <w:rsid w:val="00bb289a"/>
    <w:rPr>
      <w:rFonts w:ascii="Times New Roman" w:hAnsi="Times New Roman" w:eastAsia="Times New Roman" w:cs="Times New Roman"/>
      <w:sz w:val="20"/>
      <w:szCs w:val="20"/>
    </w:rPr>
  </w:style>
  <w:style w:type="character" w:styleId="Style16">
    <w:name w:val="Символ сноски"/>
    <w:basedOn w:val="DefaultParagraphFont"/>
    <w:uiPriority w:val="99"/>
    <w:semiHidden/>
    <w:unhideWhenUsed/>
    <w:qFormat/>
    <w:rsid w:val="00bb289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7" w:customStyle="1">
    <w:name w:val="Основной текст Знак"/>
    <w:basedOn w:val="DefaultParagraphFont"/>
    <w:uiPriority w:val="1"/>
    <w:qFormat/>
    <w:rsid w:val="00143b84"/>
    <w:rPr>
      <w:rFonts w:ascii="Times New Roman" w:hAnsi="Times New Roman" w:eastAsia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qFormat/>
    <w:rsid w:val="00416ab1"/>
    <w:rPr>
      <w:rFonts w:ascii="Courier New" w:hAnsi="Courier New" w:eastAsia="Times New Roman" w:cs="Courier New"/>
      <w:sz w:val="20"/>
      <w:szCs w:val="20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1" w:customStyle="1">
    <w:name w:val="Нижний колонтитул Знак 1"/>
    <w:basedOn w:val="DefaultParagraphFont1"/>
    <w:uiPriority w:val="99"/>
    <w:qFormat/>
    <w:rsid w:val="0077082c"/>
    <w:rPr>
      <w:color w:val="000000"/>
    </w:rPr>
  </w:style>
  <w:style w:type="character" w:styleId="11" w:customStyle="1">
    <w:name w:val="Верхний колонтитул Знак 1"/>
    <w:basedOn w:val="DefaultParagraphFont1"/>
    <w:uiPriority w:val="99"/>
    <w:qFormat/>
    <w:rsid w:val="0077082c"/>
    <w:rPr>
      <w:color w:val="000000"/>
    </w:rPr>
  </w:style>
  <w:style w:type="character" w:styleId="FollowedHyperlink" w:customStyle="1">
    <w:name w:val="FollowedHyperlink"/>
    <w:basedOn w:val="DefaultParagraphFont1"/>
    <w:uiPriority w:val="99"/>
    <w:semiHidden/>
    <w:unhideWhenUsed/>
    <w:rsid w:val="00a34957"/>
    <w:rPr>
      <w:color w:themeColor="followedHyperlink" w:val="800080"/>
      <w:u w:val="single"/>
    </w:rPr>
  </w:style>
  <w:style w:type="character" w:styleId="ConsPlusNormal" w:customStyle="1">
    <w:name w:val="ConsPlusNormal Знак"/>
    <w:link w:val="ConsPlusNormal1"/>
    <w:qFormat/>
    <w:locked/>
    <w:rsid w:val="007a18b1"/>
    <w:rPr>
      <w:rFonts w:ascii="Arial" w:hAnsi="Arial" w:eastAsia="Times New Roman" w:cs="Arial"/>
      <w:sz w:val="20"/>
      <w:szCs w:val="20"/>
      <w:lang w:bidi="ar-SA"/>
    </w:rPr>
  </w:style>
  <w:style w:type="character" w:styleId="DefaultParagraphFont1" w:customStyle="1">
    <w:name w:val="Default Paragraph Font 1"/>
    <w:uiPriority w:val="1"/>
    <w:semiHidden/>
    <w:unhideWhenUsed/>
    <w:qFormat/>
    <w:rPr/>
  </w:style>
  <w:style w:type="character" w:styleId="12" w:customStyle="1">
    <w:name w:val="Заголовок №1_"/>
    <w:basedOn w:val="DefaultParagraphFont1"/>
    <w:link w:val="15"/>
    <w:qFormat/>
    <w:rsid w:val="00c64756"/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sz w:val="36"/>
      <w:szCs w:val="36"/>
      <w:u w:val="none"/>
    </w:rPr>
  </w:style>
  <w:style w:type="character" w:styleId="2" w:customStyle="1">
    <w:name w:val="Основной текст (2)_"/>
    <w:basedOn w:val="DefaultParagraphFont1"/>
    <w:link w:val="211"/>
    <w:qFormat/>
    <w:rsid w:val="00c64756"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3" w:customStyle="1">
    <w:name w:val="Основной текст (3)_"/>
    <w:basedOn w:val="DefaultParagraphFont1"/>
    <w:link w:val="31"/>
    <w:qFormat/>
    <w:rsid w:val="00c64756"/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sz w:val="46"/>
      <w:szCs w:val="46"/>
      <w:u w:val="none"/>
    </w:rPr>
  </w:style>
  <w:style w:type="character" w:styleId="4" w:customStyle="1">
    <w:name w:val="Основной текст (4)_"/>
    <w:basedOn w:val="DefaultParagraphFont1"/>
    <w:link w:val="41"/>
    <w:qFormat/>
    <w:rsid w:val="00c64756"/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sz w:val="36"/>
      <w:szCs w:val="36"/>
      <w:u w:val="none"/>
    </w:rPr>
  </w:style>
  <w:style w:type="character" w:styleId="Hyperlink1" w:customStyle="1">
    <w:name w:val="Hyperlink 1"/>
    <w:basedOn w:val="DefaultParagraphFont1"/>
    <w:qFormat/>
    <w:rsid w:val="00c64756"/>
    <w:rPr>
      <w:color w:val="0066CC"/>
      <w:u w:val="single"/>
    </w:rPr>
  </w:style>
  <w:style w:type="character" w:styleId="21" w:customStyle="1">
    <w:name w:val="Основной текст (2)"/>
    <w:basedOn w:val="2"/>
    <w:qFormat/>
    <w:rsid w:val="00c64756"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13" w:customStyle="1">
    <w:name w:val="Текст выноски Знак 1"/>
    <w:basedOn w:val="DefaultParagraphFont2"/>
    <w:qFormat/>
    <w:rPr>
      <w:rFonts w:ascii="Tahoma" w:hAnsi="Tahoma" w:eastAsia="Times New Roman" w:cs="Tahoma"/>
      <w:sz w:val="16"/>
      <w:szCs w:val="16"/>
      <w:lang w:val="ru-RU"/>
    </w:rPr>
  </w:style>
  <w:style w:type="character" w:styleId="14" w:customStyle="1">
    <w:name w:val="Основной текст Знак 1"/>
    <w:basedOn w:val="DefaultParagraphFont2"/>
    <w:qFormat/>
    <w:rPr>
      <w:rFonts w:ascii="Times New Roman" w:hAnsi="Times New Roman" w:eastAsia="Times New Roman" w:cs="Times New Roman"/>
      <w:sz w:val="28"/>
      <w:szCs w:val="28"/>
      <w:lang w:val="ru-RU"/>
    </w:rPr>
  </w:style>
  <w:style w:type="character" w:styleId="22" w:customStyle="1">
    <w:name w:val="Нижний колонтитул Знак 2"/>
    <w:basedOn w:val="DefaultParagraphFont2"/>
    <w:qFormat/>
    <w:rPr>
      <w:rFonts w:ascii="Times New Roman" w:hAnsi="Times New Roman" w:eastAsia="Times New Roman" w:cs="Times New Roman"/>
      <w:lang w:val="ru-RU"/>
    </w:rPr>
  </w:style>
  <w:style w:type="character" w:styleId="23" w:customStyle="1">
    <w:name w:val="Верхний колонтитул Знак 2"/>
    <w:basedOn w:val="DefaultParagraphFont2"/>
    <w:qFormat/>
    <w:rPr>
      <w:rFonts w:ascii="Times New Roman" w:hAnsi="Times New Roman" w:eastAsia="Times New Roman" w:cs="Times New Roman"/>
      <w:lang w:val="ru-RU"/>
    </w:rPr>
  </w:style>
  <w:style w:type="character" w:styleId="DefaultParagraphFont2" w:customStyle="1">
    <w:name w:val="Default Paragraph Font 2"/>
    <w:qFormat/>
    <w:rPr/>
  </w:style>
  <w:style w:type="character" w:styleId="Hyperlink2" w:customStyle="1">
    <w:name w:val="Hyperlink 2"/>
    <w:qFormat/>
    <w:rPr>
      <w:color w:val="000080"/>
      <w:u w:val="single"/>
    </w:rPr>
  </w:style>
  <w:style w:type="character" w:styleId="DefaultParagraphFont3" w:customStyle="1">
    <w:name w:val="Default Paragraph Font 3"/>
    <w:uiPriority w:val="1"/>
    <w:semiHidden/>
    <w:unhideWhenUsed/>
    <w:qFormat/>
    <w:rPr/>
  </w:style>
  <w:style w:type="character" w:styleId="DefaultParagraphFont4" w:customStyle="1">
    <w:name w:val="Default Paragraph Font 4"/>
    <w:uiPriority w:val="1"/>
    <w:semiHidden/>
    <w:unhideWhenUsed/>
    <w:qFormat/>
    <w:rPr/>
  </w:style>
  <w:style w:type="paragraph" w:styleId="Style18" w:customStyle="1">
    <w:name w:val="Заголовок"/>
    <w:basedOn w:val="Normal1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link w:val="Style17"/>
    <w:uiPriority w:val="1"/>
    <w:qFormat/>
    <w:rsid w:val="00143b84"/>
    <w:pPr>
      <w:widowControl w:val="false"/>
    </w:pPr>
    <w:rPr>
      <w:sz w:val="24"/>
      <w:szCs w:val="24"/>
    </w:rPr>
  </w:style>
  <w:style w:type="paragraph" w:styleId="List" w:customStyle="1">
    <w:name w:val="List"/>
    <w:basedOn w:val="BodyText1"/>
    <w:pPr/>
    <w:rPr>
      <w:rFonts w:cs="Lohit Devanagari"/>
    </w:rPr>
  </w:style>
  <w:style w:type="paragraph" w:styleId="Caption" w:customStyle="1">
    <w:name w:val="Caption"/>
    <w:basedOn w:val="Normal1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 w:customStyle="1">
    <w:name w:val="Указатель"/>
    <w:basedOn w:val="Normal1"/>
    <w:qFormat/>
    <w:pPr>
      <w:suppressLineNumbers/>
    </w:pPr>
    <w:rPr>
      <w:rFonts w:cs="Lohit Devanagari"/>
    </w:rPr>
  </w:style>
  <w:style w:type="paragraph" w:styleId="Annotationtext">
    <w:name w:val="annotation text"/>
    <w:basedOn w:val="Normal"/>
    <w:link w:val="Style8"/>
    <w:uiPriority w:val="99"/>
    <w:unhideWhenUsed/>
    <w:qFormat/>
    <w:rsid w:val="00c955f6"/>
    <w:pPr/>
    <w:rPr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c955f6"/>
    <w:pPr/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link w:val="Style10"/>
    <w:uiPriority w:val="99"/>
    <w:semiHidden/>
    <w:unhideWhenUsed/>
    <w:qFormat/>
    <w:rsid w:val="00c955f6"/>
    <w:pPr/>
    <w:rPr>
      <w:b/>
      <w:bCs/>
    </w:rPr>
  </w:style>
  <w:style w:type="paragraph" w:styleId="1TimesNewRoman12" w:customStyle="1">
    <w:name w:val="! ТЗ Стиль __ТекстОсн_1и + Times New Roman 12 пт По ширине Первая стр..."/>
    <w:basedOn w:val="Normal"/>
    <w:qFormat/>
    <w:rsid w:val="003c4b9a"/>
    <w:pPr>
      <w:tabs>
        <w:tab w:val="clear" w:pos="1134"/>
        <w:tab w:val="left" w:pos="851" w:leader="none"/>
      </w:tabs>
      <w:spacing w:lineRule="auto" w:line="360" w:before="60" w:after="60"/>
      <w:ind w:firstLine="709"/>
      <w:jc w:val="both"/>
    </w:pPr>
    <w:rPr>
      <w:sz w:val="24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321302"/>
    <w:pPr>
      <w:spacing w:before="0" w:after="0"/>
      <w:ind w:left="720"/>
      <w:contextualSpacing/>
    </w:pPr>
    <w:rPr/>
  </w:style>
  <w:style w:type="paragraph" w:styleId="Style20" w:customStyle="1">
    <w:name w:val="Колонтитул"/>
    <w:basedOn w:val="Normal1"/>
    <w:qFormat/>
    <w:pPr/>
    <w:rPr/>
  </w:style>
  <w:style w:type="paragraph" w:styleId="Header" w:customStyle="1">
    <w:name w:val="Header"/>
    <w:basedOn w:val="Normal1"/>
    <w:link w:val="11"/>
    <w:uiPriority w:val="99"/>
    <w:unhideWhenUsed/>
    <w:rsid w:val="0077082c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Footer" w:customStyle="1">
    <w:name w:val="Footer"/>
    <w:basedOn w:val="Normal1"/>
    <w:link w:val="1"/>
    <w:uiPriority w:val="99"/>
    <w:unhideWhenUsed/>
    <w:rsid w:val="0077082c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EndnoteText">
    <w:name w:val="Endnote Text"/>
    <w:basedOn w:val="Normal"/>
    <w:link w:val="Style13"/>
    <w:uiPriority w:val="99"/>
    <w:semiHidden/>
    <w:unhideWhenUsed/>
    <w:rsid w:val="00db21fa"/>
    <w:pPr/>
    <w:rPr>
      <w:szCs w:val="20"/>
    </w:rPr>
  </w:style>
  <w:style w:type="paragraph" w:styleId="FootnoteText">
    <w:name w:val="Footnote Text"/>
    <w:basedOn w:val="Normal"/>
    <w:link w:val="Style15"/>
    <w:uiPriority w:val="99"/>
    <w:unhideWhenUsed/>
    <w:rsid w:val="00bb289a"/>
    <w:pPr/>
    <w:rPr>
      <w:szCs w:val="20"/>
    </w:rPr>
  </w:style>
  <w:style w:type="paragraph" w:styleId="NoSpacing">
    <w:name w:val="No Spacing"/>
    <w:uiPriority w:val="1"/>
    <w:qFormat/>
    <w:rsid w:val="00ce3de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NormalWeb" w:customStyle="1">
    <w:name w:val="Normal (Web)"/>
    <w:basedOn w:val="Normal1"/>
    <w:uiPriority w:val="99"/>
    <w:semiHidden/>
    <w:unhideWhenUsed/>
    <w:qFormat/>
    <w:rsid w:val="00a43763"/>
    <w:pPr>
      <w:widowControl/>
      <w:spacing w:beforeAutospacing="1" w:afterAutospacing="1"/>
    </w:pPr>
    <w:rPr>
      <w:rFonts w:ascii="Times New Roman" w:hAnsi="Times New Roman" w:eastAsia="Times New Roman" w:cs="Times New Roman"/>
      <w:color w:val="auto"/>
      <w:lang w:bidi="ar-SA"/>
    </w:rPr>
  </w:style>
  <w:style w:type="paragraph" w:styleId="ConsPlusNormal1" w:customStyle="1">
    <w:name w:val="ConsPlusNormal"/>
    <w:link w:val="ConsPlusNormal"/>
    <w:qFormat/>
    <w:rsid w:val="007a18b1"/>
    <w:pPr>
      <w:widowControl w:val="false"/>
      <w:suppressAutoHyphens w:val="true"/>
      <w:bidi w:val="0"/>
      <w:spacing w:lineRule="auto" w:line="259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211" w:customStyle="1">
    <w:name w:val="Основной текст (2)1"/>
    <w:basedOn w:val="Normal1"/>
    <w:link w:val="2"/>
    <w:qFormat/>
    <w:rsid w:val="00c64756"/>
    <w:pPr>
      <w:shd w:val="clear" w:color="auto" w:fill="FFFFFF"/>
      <w:spacing w:lineRule="exact" w:line="346" w:before="0" w:after="300"/>
      <w:jc w:val="both"/>
    </w:pPr>
    <w:rPr>
      <w:rFonts w:ascii="Arial" w:hAnsi="Arial" w:eastAsia="Arial" w:cs="Arial"/>
      <w:sz w:val="28"/>
      <w:szCs w:val="28"/>
    </w:rPr>
  </w:style>
  <w:style w:type="paragraph" w:styleId="BodyText1" w:customStyle="1">
    <w:name w:val="Body Text 1"/>
    <w:basedOn w:val="Normal1"/>
    <w:qFormat/>
    <w:pPr>
      <w:spacing w:lineRule="auto" w:line="276" w:before="0" w:after="140"/>
    </w:pPr>
    <w:rPr/>
  </w:style>
  <w:style w:type="paragraph" w:styleId="31" w:customStyle="1">
    <w:name w:val="Основной текст (3)"/>
    <w:basedOn w:val="Normal1"/>
    <w:link w:val="3"/>
    <w:qFormat/>
    <w:rsid w:val="00c64756"/>
    <w:pPr>
      <w:shd w:val="clear" w:color="auto" w:fill="FFFFFF"/>
      <w:spacing w:lineRule="exact" w:line="538" w:before="480" w:after="0"/>
    </w:pPr>
    <w:rPr>
      <w:rFonts w:ascii="Arial" w:hAnsi="Arial" w:eastAsia="Arial" w:cs="Arial"/>
      <w:b/>
      <w:bCs/>
      <w:sz w:val="46"/>
      <w:szCs w:val="46"/>
    </w:rPr>
  </w:style>
  <w:style w:type="paragraph" w:styleId="15" w:customStyle="1">
    <w:name w:val="Заголовок №1"/>
    <w:basedOn w:val="Normal1"/>
    <w:link w:val="12"/>
    <w:qFormat/>
    <w:rsid w:val="00c64756"/>
    <w:pPr>
      <w:shd w:val="clear" w:color="auto" w:fill="FFFFFF"/>
      <w:spacing w:lineRule="atLeast" w:line="0" w:before="360" w:after="780"/>
      <w:jc w:val="both"/>
      <w:outlineLvl w:val="0"/>
    </w:pPr>
    <w:rPr>
      <w:rFonts w:ascii="Arial" w:hAnsi="Arial" w:eastAsia="Arial" w:cs="Arial"/>
      <w:b/>
      <w:bCs/>
      <w:sz w:val="36"/>
      <w:szCs w:val="36"/>
    </w:rPr>
  </w:style>
  <w:style w:type="paragraph" w:styleId="Normal1" w:customStyle="1">
    <w:name w:val="Normal 1"/>
    <w:qFormat/>
    <w:rsid w:val="00c64756"/>
    <w:pPr>
      <w:widowControl w:val="false"/>
      <w:suppressAutoHyphens w:val="true"/>
      <w:bidi w:val="0"/>
      <w:spacing w:lineRule="auto" w:line="259"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ru-RU"/>
    </w:rPr>
  </w:style>
  <w:style w:type="paragraph" w:styleId="41" w:customStyle="1">
    <w:name w:val="Основной текст (4)"/>
    <w:basedOn w:val="Normal1"/>
    <w:link w:val="4"/>
    <w:qFormat/>
    <w:rsid w:val="00c64756"/>
    <w:pPr>
      <w:shd w:val="clear" w:color="auto" w:fill="FFFFFF"/>
      <w:spacing w:lineRule="exact" w:line="418" w:before="0" w:after="600"/>
    </w:pPr>
    <w:rPr>
      <w:rFonts w:ascii="Arial" w:hAnsi="Arial" w:eastAsia="Arial" w:cs="Arial"/>
      <w:b/>
      <w:bCs/>
      <w:sz w:val="36"/>
      <w:szCs w:val="36"/>
    </w:rPr>
  </w:style>
  <w:style w:type="paragraph" w:styleId="Indexheading" w:customStyle="1">
    <w:name w:val="index heading"/>
    <w:basedOn w:val="Normal2"/>
    <w:qFormat/>
    <w:pPr>
      <w:suppressLineNumbers/>
    </w:pPr>
    <w:rPr>
      <w:rFonts w:cs="Lohit Devanagari"/>
    </w:rPr>
  </w:style>
  <w:style w:type="paragraph" w:styleId="Caption11" w:customStyle="1">
    <w:name w:val="Caption11"/>
    <w:basedOn w:val="Normal2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alloonText1" w:customStyle="1">
    <w:name w:val="Balloon Text 1"/>
    <w:basedOn w:val="Normal2"/>
    <w:qFormat/>
    <w:pPr/>
    <w:rPr>
      <w:rFonts w:ascii="Tahoma" w:hAnsi="Tahoma" w:cs="Tahoma"/>
      <w:sz w:val="16"/>
      <w:szCs w:val="16"/>
    </w:rPr>
  </w:style>
  <w:style w:type="paragraph" w:styleId="16" w:customStyle="1">
    <w:name w:val="Колонтитул 1"/>
    <w:basedOn w:val="Normal2"/>
    <w:qFormat/>
    <w:pPr/>
    <w:rPr/>
  </w:style>
  <w:style w:type="paragraph" w:styleId="Index1" w:customStyle="1">
    <w:name w:val="Index 1"/>
    <w:basedOn w:val="Normal2"/>
    <w:qFormat/>
    <w:pPr>
      <w:suppressLineNumbers/>
    </w:pPr>
    <w:rPr>
      <w:rFonts w:cs="Mangal"/>
    </w:rPr>
  </w:style>
  <w:style w:type="paragraph" w:styleId="BodyText2" w:customStyle="1">
    <w:name w:val="Body Text 2"/>
    <w:basedOn w:val="Normal2"/>
    <w:qFormat/>
    <w:pPr/>
    <w:rPr>
      <w:sz w:val="28"/>
      <w:szCs w:val="28"/>
    </w:rPr>
  </w:style>
  <w:style w:type="paragraph" w:styleId="List1" w:customStyle="1">
    <w:name w:val="List 1"/>
    <w:basedOn w:val="BodyText2"/>
    <w:qFormat/>
    <w:pPr/>
    <w:rPr>
      <w:rFonts w:cs="Lohit Devanagari"/>
    </w:rPr>
  </w:style>
  <w:style w:type="paragraph" w:styleId="TableParagraph" w:customStyle="1">
    <w:name w:val="Table Paragraph"/>
    <w:basedOn w:val="Normal2"/>
    <w:qFormat/>
    <w:pPr/>
    <w:rPr/>
  </w:style>
  <w:style w:type="paragraph" w:styleId="Style21" w:customStyle="1">
    <w:name w:val="Содержимое таблицы"/>
    <w:basedOn w:val="Normal2"/>
    <w:qFormat/>
    <w:pPr>
      <w:widowControl w:val="false"/>
      <w:suppressLineNumbers/>
    </w:pPr>
    <w:rPr/>
  </w:style>
  <w:style w:type="paragraph" w:styleId="Normal2" w:customStyle="1">
    <w:name w:val="Normal 2"/>
    <w:qFormat/>
    <w:pPr>
      <w:widowControl w:val="false"/>
      <w:suppressAutoHyphens w:val="true"/>
      <w:bidi w:val="0"/>
      <w:spacing w:lineRule="auto" w:line="259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Caption1" w:customStyle="1">
    <w:name w:val="Caption 1"/>
    <w:basedOn w:val="Normal2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" w:customStyle="1">
    <w:name w:val="caption111"/>
    <w:basedOn w:val="Normal2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Header1" w:customStyle="1">
    <w:name w:val="Header 1"/>
    <w:basedOn w:val="Normal2"/>
    <w:qFormat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Caption12" w:customStyle="1">
    <w:name w:val="Caption1"/>
    <w:basedOn w:val="Normal2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ListParagraph1" w:customStyle="1">
    <w:name w:val="List Paragraph 1"/>
    <w:basedOn w:val="Normal2"/>
    <w:qFormat/>
    <w:pPr>
      <w:ind w:firstLine="708" w:left="137" w:right="0"/>
      <w:jc w:val="both"/>
    </w:pPr>
    <w:rPr/>
  </w:style>
  <w:style w:type="paragraph" w:styleId="Footer1" w:customStyle="1">
    <w:name w:val="Footer 1"/>
    <w:basedOn w:val="Normal2"/>
    <w:qFormat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Style22" w:customStyle="1">
    <w:name w:val="Содержимое врезки"/>
    <w:basedOn w:val="Normal2"/>
    <w:qFormat/>
    <w:pPr/>
    <w:rPr/>
  </w:style>
  <w:style w:type="paragraph" w:styleId="ConsPlusNormal11" w:customStyle="1">
    <w:name w:val="ConsPlusNormal 1"/>
    <w:qFormat/>
    <w:rsid w:val="005a7ac1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Index2" w:customStyle="1">
    <w:name w:val="Index 2"/>
    <w:basedOn w:val="Normal3"/>
    <w:qFormat/>
    <w:pPr>
      <w:suppressLineNumbers/>
    </w:pPr>
    <w:rPr>
      <w:rFonts w:cs="Lohit Devanagari"/>
    </w:rPr>
  </w:style>
  <w:style w:type="paragraph" w:styleId="ConsPlusNonformat" w:customStyle="1">
    <w:name w:val="ConsPlusNonformat"/>
    <w:qFormat/>
    <w:rsid w:val="005a7ac1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val="ru-RU" w:eastAsia="ru-RU" w:bidi="ar-SA"/>
    </w:rPr>
  </w:style>
  <w:style w:type="paragraph" w:styleId="BodyText3" w:customStyle="1">
    <w:name w:val="Body Text 3"/>
    <w:basedOn w:val="Normal3"/>
    <w:qFormat/>
    <w:pPr>
      <w:spacing w:lineRule="auto" w:line="276" w:before="0" w:after="140"/>
    </w:pPr>
    <w:rPr/>
  </w:style>
  <w:style w:type="paragraph" w:styleId="List2" w:customStyle="1">
    <w:name w:val="List 2"/>
    <w:basedOn w:val="BodyText3"/>
    <w:qFormat/>
    <w:pPr/>
    <w:rPr>
      <w:rFonts w:cs="Lohit Devanagari"/>
    </w:rPr>
  </w:style>
  <w:style w:type="paragraph" w:styleId="Normal3" w:customStyle="1">
    <w:name w:val="Normal 3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aption2" w:customStyle="1">
    <w:name w:val="Caption 2"/>
    <w:basedOn w:val="Normal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2" w:customStyle="1">
    <w:name w:val="ConsPlusNormal 2"/>
    <w:qFormat/>
    <w:rsid w:val="005a7ac1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Index3" w:customStyle="1">
    <w:name w:val="Index 3"/>
    <w:basedOn w:val="Normal4"/>
    <w:qFormat/>
    <w:pPr>
      <w:suppressLineNumbers/>
    </w:pPr>
    <w:rPr>
      <w:rFonts w:cs="Lohit Devanagari"/>
    </w:rPr>
  </w:style>
  <w:style w:type="paragraph" w:styleId="ConsPlusNonformat1" w:customStyle="1">
    <w:name w:val="ConsPlusNonformat 1"/>
    <w:qFormat/>
    <w:rsid w:val="005a7ac1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val="ru-RU" w:eastAsia="ru-RU" w:bidi="ar-SA"/>
    </w:rPr>
  </w:style>
  <w:style w:type="paragraph" w:styleId="BodyText4" w:customStyle="1">
    <w:name w:val="Body Text 4"/>
    <w:basedOn w:val="Normal4"/>
    <w:qFormat/>
    <w:pPr>
      <w:spacing w:lineRule="auto" w:line="276" w:before="0" w:after="140"/>
    </w:pPr>
    <w:rPr/>
  </w:style>
  <w:style w:type="paragraph" w:styleId="List3" w:customStyle="1">
    <w:name w:val="List 3"/>
    <w:basedOn w:val="BodyText4"/>
    <w:qFormat/>
    <w:pPr/>
    <w:rPr>
      <w:rFonts w:cs="Lohit Devanagari"/>
    </w:rPr>
  </w:style>
  <w:style w:type="paragraph" w:styleId="Normal4" w:customStyle="1">
    <w:name w:val="Normal 4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aption3" w:customStyle="1">
    <w:name w:val="Caption 3"/>
    <w:basedOn w:val="Normal4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NoList1" w:customStyle="1">
    <w:name w:val="No List 1"/>
    <w:uiPriority w:val="99"/>
    <w:semiHidden/>
    <w:unhideWhenUsed/>
    <w:qFormat/>
  </w:style>
  <w:style w:type="numbering" w:styleId="WW8Num1" w:customStyle="1">
    <w:name w:val="WW8Num1"/>
    <w:qFormat/>
  </w:style>
  <w:style w:type="numbering" w:styleId="NoList2" w:customStyle="1">
    <w:name w:val="No List 2"/>
    <w:uiPriority w:val="99"/>
    <w:semiHidden/>
    <w:unhideWhenUsed/>
    <w:qFormat/>
  </w:style>
  <w:style w:type="numbering" w:styleId="NoList3" w:customStyle="1">
    <w:name w:val="No List 3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39"/>
    <w:rsid w:val="003c4b9a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k5gp">
    <w:name w:val="Normal Table 1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Tu3N">
    <w:name w:val="Normal Table 2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IkMz">
    <w:name w:val="Normal Table 3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openxmlformats.org/officeDocument/2006/relationships/image" Target="media/image2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header" Target="header9.xml"/><Relationship Id="rId14" Type="http://schemas.openxmlformats.org/officeDocument/2006/relationships/header" Target="header10.xml"/><Relationship Id="rId15" Type="http://schemas.openxmlformats.org/officeDocument/2006/relationships/header" Target="header11.xml"/><Relationship Id="rId16" Type="http://schemas.openxmlformats.org/officeDocument/2006/relationships/header" Target="header12.xml"/><Relationship Id="rId17" Type="http://schemas.openxmlformats.org/officeDocument/2006/relationships/footnotes" Target="footnotes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8BCF6-92F3-4316-BA8D-D2CB723E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LibreOffice/7.6.7.2$Linux_X86_64 LibreOffice_project/60$Build-2</Application>
  <AppVersion>15.0000</AppVersion>
  <Pages>69</Pages>
  <Words>16848</Words>
  <Characters>131129</Characters>
  <CharactersWithSpaces>147360</CharactersWithSpaces>
  <Paragraphs>1094</Paragraphs>
  <Company>rtlabs.ru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2025-01-21T12:28:00Z</dcterms:created>
  <dc:creator>Кузнецов Виталий Геннадиевич</dc:creator>
  <dc:description/>
  <dc:language>ru-RU</dc:language>
  <cp:lastModifiedBy/>
  <dcterms:modified xsi:type="dcterms:W3CDTF">2025-04-25T09:38:04Z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