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закрытого административно-территориального образования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>
      <w:pPr>
        <w:pStyle w:val="Heading1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Heading1"/>
        <w:rPr/>
      </w:pPr>
      <w:r>
        <w:rPr/>
        <w:t>ПОСТАНОВЛЕНИЕ</w:t>
      </w:r>
    </w:p>
    <w:p>
      <w:pPr>
        <w:pStyle w:val="Normal"/>
        <w:tabs>
          <w:tab w:val="clear" w:pos="720"/>
          <w:tab w:val="right" w:pos="9498" w:leader="none"/>
        </w:tabs>
        <w:rPr>
          <w:b/>
          <w:color w:themeColor="background1" w:val="FFFFFF"/>
          <w:sz w:val="24"/>
          <w:szCs w:val="24"/>
        </w:rPr>
      </w:pPr>
      <w:r>
        <w:rPr>
          <w:b/>
          <w:color w:themeColor="background1" w:val="FFFFFF"/>
          <w:sz w:val="24"/>
          <w:szCs w:val="24"/>
        </w:rPr>
        <w:t xml:space="preserve">127.12.20230.02.2023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20"/>
          <w:tab w:val="right" w:pos="9498" w:leader="none"/>
        </w:tabs>
        <w:rPr>
          <w:b/>
          <w:sz w:val="24"/>
          <w:szCs w:val="24"/>
        </w:rPr>
      </w:pPr>
      <w:r>
        <w:rPr>
          <w:b/>
          <w:color w:themeColor="background1" w:val="FFFFFF"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                                                                                                    </w:t>
      </w:r>
      <w:r>
        <w:rPr>
          <w:sz w:val="28"/>
          <w:szCs w:val="28"/>
        </w:rPr>
        <w:t xml:space="preserve"> № _______</w:t>
      </w:r>
    </w:p>
    <w:p>
      <w:pPr>
        <w:pStyle w:val="Style16"/>
        <w:rPr/>
      </w:pPr>
      <w:r>
        <w:rPr/>
        <w:t>г.Вилючинск</w:t>
      </w:r>
    </w:p>
    <w:p>
      <w:pPr>
        <w:pStyle w:val="Normal"/>
        <w:tabs>
          <w:tab w:val="clear" w:pos="720"/>
          <w:tab w:val="left" w:pos="4536" w:leader="none"/>
        </w:tabs>
        <w:ind w:right="524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4536" w:leader="none"/>
        </w:tabs>
        <w:ind w:right="524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Примерное </w:t>
      </w:r>
    </w:p>
    <w:p>
      <w:pPr>
        <w:pStyle w:val="Normal"/>
        <w:tabs>
          <w:tab w:val="clear" w:pos="720"/>
          <w:tab w:val="left" w:pos="4536" w:leader="none"/>
        </w:tabs>
        <w:ind w:right="524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о системе оплаты труда </w:t>
      </w:r>
    </w:p>
    <w:p>
      <w:pPr>
        <w:pStyle w:val="Normal"/>
        <w:tabs>
          <w:tab w:val="clear" w:pos="720"/>
          <w:tab w:val="left" w:pos="4678" w:leader="none"/>
        </w:tabs>
        <w:ind w:right="4963"/>
        <w:rPr>
          <w:sz w:val="28"/>
          <w:szCs w:val="28"/>
        </w:rPr>
      </w:pPr>
      <w:r>
        <w:rPr>
          <w:sz w:val="28"/>
          <w:szCs w:val="28"/>
        </w:rPr>
        <w:t xml:space="preserve">работников муниципального </w:t>
      </w:r>
      <w:bookmarkStart w:id="0" w:name="_GoBack"/>
      <w:bookmarkEnd w:id="0"/>
    </w:p>
    <w:p>
      <w:pPr>
        <w:pStyle w:val="Normal"/>
        <w:tabs>
          <w:tab w:val="clear" w:pos="720"/>
          <w:tab w:val="left" w:pos="4536" w:leader="none"/>
        </w:tabs>
        <w:ind w:right="5246"/>
        <w:rPr>
          <w:sz w:val="28"/>
          <w:szCs w:val="28"/>
        </w:rPr>
      </w:pPr>
      <w:r>
        <w:rPr>
          <w:sz w:val="28"/>
          <w:szCs w:val="28"/>
        </w:rPr>
        <w:t xml:space="preserve">казенного учреждения «Ресурсно-информационный центр» </w:t>
      </w:r>
    </w:p>
    <w:p>
      <w:pPr>
        <w:pStyle w:val="Normal"/>
        <w:tabs>
          <w:tab w:val="clear" w:pos="720"/>
          <w:tab w:val="left" w:pos="4678" w:leader="none"/>
          <w:tab w:val="left" w:pos="4820" w:leader="none"/>
        </w:tabs>
        <w:ind w:right="4821"/>
        <w:rPr>
          <w:sz w:val="28"/>
          <w:szCs w:val="28"/>
        </w:rPr>
      </w:pPr>
      <w:r>
        <w:rPr>
          <w:sz w:val="28"/>
          <w:szCs w:val="28"/>
        </w:rPr>
        <w:t xml:space="preserve">Вилючинского городского округа, утвержденное постановлением администрации Вилючинского городского округа </w:t>
      </w:r>
      <w:r>
        <w:rPr>
          <w:color w:val="000000"/>
          <w:sz w:val="28"/>
          <w:szCs w:val="28"/>
        </w:rPr>
        <w:t>от 03.06.2019 № 496</w:t>
      </w:r>
      <w:r>
        <w:rPr>
          <w:sz w:val="28"/>
          <w:szCs w:val="28"/>
        </w:rPr>
        <w:t xml:space="preserve"> </w:t>
      </w:r>
    </w:p>
    <w:p>
      <w:pPr>
        <w:pStyle w:val="Heading2"/>
        <w:ind w:firstLine="851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color w:val="auto"/>
          <w:sz w:val="28"/>
          <w:szCs w:val="28"/>
        </w:rPr>
        <w:t xml:space="preserve">В соответствии со статьей 144 Трудового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решением Думы Вилючинского городского округа 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1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3.12.2024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 xml:space="preserve"> № 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428/85-7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 xml:space="preserve"> «О внесении изменений в решение Думы Вилючинского городского округа от 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22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.12.202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3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 xml:space="preserve"> № 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340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/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65-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7 «О местном бюджете на 202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4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 xml:space="preserve"> год и на плановый период 202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5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 xml:space="preserve"> и 202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>6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auto" w:val="clear"/>
        </w:rPr>
        <w:t xml:space="preserve"> годов»</w:t>
      </w:r>
    </w:p>
    <w:p>
      <w:pPr>
        <w:pStyle w:val="Normal"/>
        <w:rPr/>
      </w:pPr>
      <w:r>
        <w:rPr/>
      </w:r>
    </w:p>
    <w:p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Примерное положение о системе оплаты труда работников муниципального казенного учреждения «Ресурсно-информационный центр» Вилючинского городского округа, утвержденное постановлением администрации Вилючинского городского округа </w:t>
      </w:r>
      <w:r>
        <w:rPr>
          <w:color w:val="000000"/>
          <w:sz w:val="28"/>
          <w:szCs w:val="28"/>
        </w:rPr>
        <w:t>от 03.06.2019 № 496</w:t>
      </w:r>
      <w:r>
        <w:rPr>
          <w:sz w:val="28"/>
          <w:szCs w:val="28"/>
        </w:rPr>
        <w:t xml:space="preserve"> (далее – Примерное положение) следующие изменения:</w:t>
      </w:r>
    </w:p>
    <w:p>
      <w:pPr>
        <w:pStyle w:val="ListParagraph"/>
        <w:ind w:firstLine="851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Примерного положения изложить в редакции согласно приложению № 1 к настоящему постановлению;</w:t>
      </w:r>
    </w:p>
    <w:p>
      <w:pPr>
        <w:pStyle w:val="ListParagraph"/>
        <w:ind w:firstLine="851" w:left="0"/>
        <w:jc w:val="both"/>
        <w:rPr>
          <w:sz w:val="28"/>
          <w:szCs w:val="28"/>
        </w:rPr>
      </w:pPr>
      <w:r>
        <w:rPr>
          <w:sz w:val="28"/>
          <w:szCs w:val="28"/>
        </w:rPr>
        <w:t>1.2 раздел III Примерного положения изложить в редакции согласно приложению № 2 к настоящему постановлению.</w:t>
      </w:r>
    </w:p>
    <w:p>
      <w:pPr>
        <w:pStyle w:val="BodyTextIndent2"/>
        <w:tabs>
          <w:tab w:val="clear" w:pos="720"/>
          <w:tab w:val="left" w:pos="0" w:leader="none"/>
        </w:tabs>
        <w:spacing w:lineRule="auto" w:line="240" w:before="0" w:after="0"/>
        <w:ind w:firstLine="851" w:left="0"/>
        <w:jc w:val="both"/>
        <w:rPr>
          <w:sz w:val="28"/>
          <w:szCs w:val="28"/>
        </w:rPr>
      </w:pPr>
      <w:r>
        <w:rPr>
          <w:sz w:val="28"/>
          <w:szCs w:val="28"/>
        </w:rPr>
        <w:t>2.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ConsNormal"/>
        <w:widowControl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Настоящее постановление вступает в силу со дня его подписания и распространяется на правовые отношения, возникшие с 1 декабря 2023 года</w:t>
      </w:r>
    </w:p>
    <w:p>
      <w:pPr>
        <w:pStyle w:val="23"/>
        <w:shd w:val="clear" w:color="auto" w:fill="auto"/>
        <w:spacing w:lineRule="auto" w:line="240" w:before="0" w:after="0"/>
        <w:ind w:firstLine="851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4. Контроль за исполнением настоящего постановления возложить на заместителя главы администрации городского округа, начальника управления делами администрации Вилючинского городского округа Г.Н. Смирнову.</w:t>
      </w:r>
    </w:p>
    <w:p>
      <w:pPr>
        <w:pStyle w:val="Normal"/>
        <w:shd w:val="clear" w:color="auto" w:fill="FFFFFF"/>
        <w:rPr>
          <w:b/>
          <w:bCs/>
          <w:spacing w:val="-12"/>
          <w:sz w:val="30"/>
          <w:szCs w:val="30"/>
        </w:rPr>
      </w:pPr>
      <w:r>
        <w:rPr>
          <w:b/>
          <w:bCs/>
          <w:spacing w:val="-12"/>
          <w:sz w:val="30"/>
          <w:szCs w:val="30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val="ru-RU" w:eastAsia="ru-RU" w:bidi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lang w:val="ru-RU" w:eastAsia="ru-RU" w:bidi="ru-RU"/>
        </w:rPr>
        <w:t xml:space="preserve">Глава Вилючинского </w:t>
      </w:r>
    </w:p>
    <w:p>
      <w:pPr>
        <w:pStyle w:val="ConsNormal"/>
        <w:widowControl/>
        <w:ind w:hanging="0"/>
        <w:jc w:val="both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val="ru-RU" w:eastAsia="ru-RU" w:bidi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lang w:val="ru-RU" w:eastAsia="ru-RU" w:bidi="ru-RU"/>
        </w:rPr>
        <w:t>городского округа                                                                              И.В. Головчак</w:t>
      </w:r>
    </w:p>
    <w:p>
      <w:pPr>
        <w:pStyle w:val="NormalWeb"/>
        <w:spacing w:beforeAutospacing="0" w:before="0" w:afterAutospacing="0" w:after="0"/>
        <w:ind w:left="538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Web"/>
        <w:spacing w:beforeAutospacing="0" w:before="0" w:afterAutospacing="0" w:after="0"/>
        <w:ind w:left="5387"/>
        <w:rPr>
          <w:sz w:val="28"/>
          <w:szCs w:val="28"/>
        </w:rPr>
      </w:pPr>
      <w:r>
        <w:rPr>
          <w:sz w:val="28"/>
          <w:szCs w:val="28"/>
        </w:rPr>
        <w:t>Вилючинского городского округа</w:t>
      </w:r>
    </w:p>
    <w:p>
      <w:pPr>
        <w:pStyle w:val="Normal"/>
        <w:ind w:left="5387"/>
        <w:jc w:val="right"/>
        <w:rPr>
          <w:color w:themeColor="background1" w:val="FFFFFF"/>
          <w:sz w:val="28"/>
          <w:szCs w:val="28"/>
          <w:u w:val="single"/>
        </w:rPr>
      </w:pPr>
      <w:r>
        <w:rPr>
          <w:sz w:val="28"/>
          <w:szCs w:val="28"/>
        </w:rPr>
        <w:t>от _________________№ ________</w:t>
      </w:r>
      <w:r>
        <w:rPr>
          <w:color w:themeColor="background1" w:val="FFFFFF"/>
          <w:sz w:val="28"/>
          <w:szCs w:val="28"/>
          <w:u w:val="single"/>
        </w:rPr>
        <w:t>.</w:t>
      </w:r>
    </w:p>
    <w:p>
      <w:pPr>
        <w:pStyle w:val="NormalWeb"/>
        <w:spacing w:beforeAutospacing="0" w:before="0" w:afterAutospacing="0" w:after="0"/>
        <w:jc w:val="right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Профессиональные квалификационные группы должностей работников учреждения и рекомендуемые размеры основных окладов</w:t>
      </w:r>
    </w:p>
    <w:p>
      <w:pPr>
        <w:pStyle w:val="NormalWeb"/>
        <w:spacing w:beforeAutospacing="0" w:before="0" w:afterAutospacing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(должностных окладов), ставок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Профессиональная квалификационная группа «Общеотраслевые должности служащих»</w:t>
      </w:r>
    </w:p>
    <w:tbl>
      <w:tblPr>
        <w:tblW w:w="13306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698"/>
        <w:gridCol w:w="32"/>
        <w:gridCol w:w="5671"/>
        <w:gridCol w:w="65"/>
        <w:gridCol w:w="1493"/>
        <w:gridCol w:w="1734"/>
        <w:gridCol w:w="1613"/>
      </w:tblGrid>
      <w:tr>
        <w:trPr/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квалификации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Размеры основных окладов, руб.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нет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нет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связям с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общественностью</w:t>
            </w: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по специальности «Связи с общественностью» или высшее профессиональное образование и дополнительная подготовка в области связей с общественностью без предъявления требований к стажу работы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7161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71" w:hRule="atLeast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ind w:firstLine="70" w:left="-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ind w:firstLine="70" w:left="-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ind w:firstLine="70" w:left="-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ind w:firstLine="70" w:left="-7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Инженер-</w:t>
            </w:r>
          </w:p>
          <w:p>
            <w:pPr>
              <w:pStyle w:val="Style17"/>
              <w:ind w:firstLine="70" w:left="-7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электроник</w:t>
            </w: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образование, без предъявления требований к стажу работы или среднее профессиональное (техническое) образование и стаж работы не менее 1 года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6560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33" w:hRule="atLeast"/>
        </w:trPr>
        <w:tc>
          <w:tcPr>
            <w:tcW w:w="26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ind w:firstLine="70" w:left="-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и стаж работы не менее 1 года или среднее профессиональное (техническое) образование и стаж работы не менее 3 лет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7161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71" w:hRule="atLeast"/>
        </w:trPr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90" w:hRule="atLeast"/>
        </w:trPr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II внутридолжностная категория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связям с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общественностью</w:t>
            </w: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по специальности «Связи с общественностью» и стаж работы не менее 3 лет или высшее профессиональное образование и дополнительная подготовка в области связей с общественностью и стаж работы не менее 3 лет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7840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7"/>
              <w:ind w:firstLine="70" w:left="-7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Инженер-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электроник</w:t>
            </w: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и стаж работы в должности электроника не менее 3 лет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7840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6" w:hRule="atLeast"/>
        </w:trPr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1734" w:type="dxa"/>
            <w:vMerge w:val="restart"/>
            <w:tcBorders/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5093</w:t>
            </w:r>
          </w:p>
        </w:tc>
      </w:tr>
      <w:tr>
        <w:trPr>
          <w:trHeight w:val="516" w:hRule="atLeast"/>
        </w:trPr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I внутридолжностная категория</w:t>
            </w:r>
          </w:p>
        </w:tc>
        <w:tc>
          <w:tcPr>
            <w:tcW w:w="1734" w:type="dxa"/>
            <w:vMerge w:val="continue"/>
            <w:tcBorders/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956" w:hRule="atLeas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связям с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общественностью</w:t>
            </w: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по специальности «Связи с общественностью» и стаж работы в должности специалиста по связям с общественностью II категории не менее 3 лет или высшее профессиональное образование и дополнительная подготовка в области связей с общественностью и стаж работы в должности специалиста по связям с общественностью II категории не менее 3 лет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9430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88" w:hRule="atLeas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17"/>
              <w:ind w:firstLine="70" w:left="-7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Инженер-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электроник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(электроник)</w:t>
            </w: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и стаж работы в должности электроника II категории не менее 3 лет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9430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6" w:hRule="atLeast"/>
        </w:trPr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1734" w:type="dxa"/>
            <w:vMerge w:val="restart"/>
            <w:tcBorders/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5594</w:t>
            </w:r>
          </w:p>
        </w:tc>
      </w:tr>
      <w:tr>
        <w:trPr>
          <w:trHeight w:val="516" w:hRule="atLeast"/>
        </w:trPr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734" w:type="dxa"/>
            <w:vMerge w:val="continue"/>
            <w:tcBorders/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связям с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общественностью</w:t>
            </w: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по специальности «Связи с общественностью» и стаж работы в должности специалиста по связям с общественностью I категории не менее 5 лет или высшее профессиональное образование и дополнительная подготовка в области связей с общественностью и стаж работы в должности специалиста по связям с общественностью I категории не менее 5 лет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11021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нет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должностей</w:t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печатных средств массовой информации</w:t>
            </w:r>
          </w:p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«Должности</w:t>
            </w:r>
          </w:p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печатных средств массовой информации первого уровня»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«Должности</w:t>
            </w:r>
          </w:p>
          <w:p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печатных средств массовой информации второго уровня»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«Должности</w:t>
            </w:r>
          </w:p>
          <w:p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печатных средств массовой информации третьего уровня»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без предъявления требований к стажу работы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7840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3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и стаж работы в должности корреспондента не менее 3 лет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8637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3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и стаж работы в должности корреспондента не менее 6 лет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9430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3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и стаж работы в должности корреспондента не менее 10 лет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11021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ListParagraph"/>
        <w:ind w:left="1080"/>
        <w:jc w:val="center"/>
        <w:rPr>
          <w:b/>
          <w:bCs/>
          <w:i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</w:r>
    </w:p>
    <w:p>
      <w:pPr>
        <w:pStyle w:val="ListParagraph"/>
        <w:ind w:left="108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Профессиональная квалификационная группа</w:t>
      </w:r>
      <w:r>
        <w:rPr>
          <w:b/>
          <w:sz w:val="28"/>
          <w:szCs w:val="28"/>
        </w:rPr>
        <w:t xml:space="preserve"> должностей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работников телевидения (радиовещания)</w:t>
      </w:r>
    </w:p>
    <w:p>
      <w:pPr>
        <w:pStyle w:val="Normal"/>
        <w:jc w:val="center"/>
        <w:rPr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</w:r>
    </w:p>
    <w:tbl>
      <w:tblPr>
        <w:tblW w:w="9961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732"/>
        <w:gridCol w:w="5670"/>
        <w:gridCol w:w="1559"/>
      </w:tblGrid>
      <w:tr>
        <w:trPr>
          <w:trHeight w:val="735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«Должности</w:t>
            </w:r>
          </w:p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телевидения (радиовещания) первого уровня»</w:t>
            </w:r>
          </w:p>
        </w:tc>
      </w:tr>
      <w:tr>
        <w:trPr>
          <w:trHeight w:val="38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>
        <w:trPr>
          <w:trHeight w:val="38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«Должности</w:t>
            </w:r>
          </w:p>
          <w:p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телевидения (радиовещания) второго уровня»</w:t>
            </w:r>
          </w:p>
        </w:tc>
      </w:tr>
      <w:tr>
        <w:trPr>
          <w:trHeight w:val="38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>
        <w:trPr>
          <w:trHeight w:val="38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«Должности</w:t>
            </w:r>
          </w:p>
          <w:p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телевидения (радиовещания) третьего уровня»</w:t>
            </w:r>
          </w:p>
        </w:tc>
      </w:tr>
      <w:tr>
        <w:trPr>
          <w:trHeight w:val="38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квалификационный уровень</w:t>
            </w:r>
          </w:p>
        </w:tc>
      </w:tr>
      <w:tr>
        <w:trPr>
          <w:trHeight w:val="38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>
        <w:trPr>
          <w:trHeight w:val="38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квалификационный уровень</w:t>
            </w:r>
          </w:p>
        </w:tc>
      </w:tr>
      <w:tr>
        <w:trPr>
          <w:trHeight w:val="38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>
        <w:trPr>
          <w:trHeight w:val="38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квалификационный уровень</w:t>
            </w:r>
          </w:p>
        </w:tc>
      </w:tr>
      <w:tr>
        <w:trPr>
          <w:trHeight w:val="1791" w:hRule="atLeast"/>
        </w:trPr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Телеоператор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без предъявления требований к стажу работы либо среднее специальное образование и стаж работы в должности ассистента телеоператора не менее 3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7840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59" w:hRule="atLeast"/>
        </w:trPr>
        <w:tc>
          <w:tcPr>
            <w:tcW w:w="273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образование, профессиональное мастерство, стаж работы в должности телеоператора не менее 3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8637</w:t>
            </w:r>
          </w:p>
        </w:tc>
      </w:tr>
      <w:tr>
        <w:trPr>
          <w:trHeight w:val="1368" w:hRule="atLeast"/>
        </w:trPr>
        <w:tc>
          <w:tcPr>
            <w:tcW w:w="273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профессиональное образование, профессиональное мастерство, стаж работы в должности телеоператора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категории не менее 3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9430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791" w:hRule="atLeast"/>
        </w:trPr>
        <w:tc>
          <w:tcPr>
            <w:tcW w:w="2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профессиональное образование, высокое профессиональное мастерство, изобразительное решение программ (передач), видеофильмов на высоком художественном уровне, отличающихся своеобразием творческого почерка, стаж работы в должности телеоператора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категории не менее 3 лет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11021</w:t>
            </w:r>
          </w:p>
        </w:tc>
      </w:tr>
      <w:tr>
        <w:trPr>
          <w:trHeight w:val="466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квалификационный уровень</w:t>
            </w:r>
          </w:p>
        </w:tc>
      </w:tr>
      <w:tr>
        <w:trPr>
          <w:trHeight w:val="416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>
        <w:trPr>
          <w:trHeight w:val="416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квалификационный уровень</w:t>
            </w:r>
          </w:p>
        </w:tc>
      </w:tr>
      <w:tr>
        <w:trPr>
          <w:trHeight w:val="426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«Должности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телевидения (радиовещания) четвертого уровня»</w:t>
            </w:r>
          </w:p>
        </w:tc>
      </w:tr>
      <w:tr>
        <w:trPr>
          <w:trHeight w:val="426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>
        <w:trPr>
          <w:trHeight w:val="943" w:hRule="atLeast"/>
        </w:trPr>
        <w:tc>
          <w:tcPr>
            <w:tcW w:w="99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ind w:left="0"/>
              <w:jc w:val="center"/>
              <w:rPr>
                <w:b/>
                <w:bCs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sz w:val="28"/>
                <w:szCs w:val="28"/>
                <w:u w:val="single"/>
              </w:rPr>
            </w:r>
          </w:p>
          <w:p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должностей</w:t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культуры, искусства и кинематографии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70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 «Должностей технических исполнителей и артистов вспомогательного состава»</w:t>
            </w:r>
          </w:p>
        </w:tc>
      </w:tr>
      <w:tr>
        <w:trPr>
          <w:trHeight w:val="41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нет</w:t>
            </w:r>
          </w:p>
        </w:tc>
      </w:tr>
      <w:tr>
        <w:trPr>
          <w:trHeight w:val="700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«Должностей</w:t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культуры, искусства и кинематографии среднего звена»</w:t>
            </w:r>
          </w:p>
        </w:tc>
      </w:tr>
      <w:tr>
        <w:trPr>
          <w:trHeight w:val="43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нет</w:t>
            </w:r>
          </w:p>
        </w:tc>
      </w:tr>
      <w:tr>
        <w:trPr>
          <w:trHeight w:val="431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«Должностей</w:t>
            </w:r>
          </w:p>
          <w:p>
            <w:pPr>
              <w:pStyle w:val="ListParagraph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работников культуры, искусства и кинематографии ведущего звена»</w:t>
            </w:r>
          </w:p>
        </w:tc>
      </w:tr>
      <w:tr>
        <w:trPr>
          <w:trHeight w:val="600" w:hRule="atLeast"/>
        </w:trPr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Монтажер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профессиональное образование (культуры и искусства, техническое) без предъявлений к стажу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7161</w:t>
            </w:r>
          </w:p>
        </w:tc>
      </w:tr>
      <w:tr>
        <w:trPr>
          <w:trHeight w:val="600" w:hRule="atLeast"/>
        </w:trPr>
        <w:tc>
          <w:tcPr>
            <w:tcW w:w="273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(культуры и искусства, техническое), без предъявления требований к стажу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7840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385" w:hRule="atLeast"/>
        </w:trPr>
        <w:tc>
          <w:tcPr>
            <w:tcW w:w="273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(культуры и искусства, техническое), стаж работы в должности монтажера не менее 1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9430</w:t>
            </w:r>
          </w:p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6" w:hRule="atLeast"/>
        </w:trPr>
        <w:tc>
          <w:tcPr>
            <w:tcW w:w="273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(культуры и искусства, техническое), стаж работы в должности монтажера не менее 5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9430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76" w:hRule="atLeast"/>
        </w:trPr>
        <w:tc>
          <w:tcPr>
            <w:tcW w:w="2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 (культуры и искусства, техническое), стаж работы в должности монтажера не менее 8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10225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76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Профессиональная квалификационная группа</w:t>
            </w:r>
            <w:r>
              <w:rPr>
                <w:b/>
                <w:sz w:val="28"/>
                <w:szCs w:val="28"/>
              </w:rPr>
              <w:t xml:space="preserve"> «Должности руководящего состава учреждений культуры, искусства и кинематографии»</w:t>
            </w:r>
          </w:p>
        </w:tc>
      </w:tr>
      <w:tr>
        <w:trPr>
          <w:trHeight w:val="376" w:hRule="atLeas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993" w:leader="none"/>
          <w:tab w:val="left" w:pos="4820" w:leader="none"/>
          <w:tab w:val="left" w:pos="4962" w:leader="none"/>
          <w:tab w:val="left" w:pos="9639" w:leader="none"/>
        </w:tabs>
        <w:suppressAutoHyphens w:val="true"/>
        <w:spacing w:lineRule="exact" w:line="320"/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  <w:tab w:val="left" w:pos="4820" w:leader="none"/>
          <w:tab w:val="left" w:pos="4962" w:leader="none"/>
          <w:tab w:val="left" w:pos="9639" w:leader="none"/>
        </w:tabs>
        <w:suppressAutoHyphens w:val="true"/>
        <w:spacing w:lineRule="exact" w:line="320"/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  <w:tab w:val="left" w:pos="4820" w:leader="none"/>
          <w:tab w:val="left" w:pos="4962" w:leader="none"/>
          <w:tab w:val="left" w:pos="9639" w:leader="none"/>
        </w:tabs>
        <w:suppressAutoHyphens w:val="true"/>
        <w:spacing w:lineRule="exact" w:line="320"/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  <w:tab w:val="left" w:pos="4820" w:leader="none"/>
          <w:tab w:val="left" w:pos="4962" w:leader="none"/>
          <w:tab w:val="left" w:pos="9639" w:leader="none"/>
        </w:tabs>
        <w:suppressAutoHyphens w:val="true"/>
        <w:spacing w:lineRule="exact" w:line="320"/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  <w:tab w:val="left" w:pos="4820" w:leader="none"/>
          <w:tab w:val="left" w:pos="4962" w:leader="none"/>
          <w:tab w:val="left" w:pos="9639" w:leader="none"/>
        </w:tabs>
        <w:suppressAutoHyphens w:val="true"/>
        <w:spacing w:lineRule="exact" w:line="320"/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</w:p>
    <w:p>
      <w:pPr>
        <w:pStyle w:val="Normal"/>
        <w:tabs>
          <w:tab w:val="clear" w:pos="720"/>
          <w:tab w:val="left" w:pos="993" w:leader="none"/>
          <w:tab w:val="left" w:pos="4820" w:leader="none"/>
          <w:tab w:val="left" w:pos="4962" w:leader="none"/>
          <w:tab w:val="left" w:pos="5529" w:leader="none"/>
          <w:tab w:val="left" w:pos="9639" w:leader="none"/>
        </w:tabs>
        <w:suppressAutoHyphens w:val="true"/>
        <w:spacing w:lineRule="exact" w:line="320"/>
        <w:ind w:firstLine="31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720"/>
          <w:tab w:val="left" w:pos="993" w:leader="none"/>
          <w:tab w:val="left" w:pos="9498" w:leader="none"/>
        </w:tabs>
        <w:suppressAutoHyphens w:val="true"/>
        <w:spacing w:lineRule="exact" w:line="320"/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  <w:t>Вилючинского городского округа</w:t>
      </w:r>
    </w:p>
    <w:p>
      <w:pPr>
        <w:pStyle w:val="Normal"/>
        <w:ind w:left="5387"/>
        <w:jc w:val="right"/>
        <w:rPr>
          <w:color w:themeColor="background1" w:val="FFFFFF"/>
          <w:sz w:val="28"/>
          <w:szCs w:val="28"/>
          <w:u w:val="single"/>
        </w:rPr>
      </w:pPr>
      <w:r>
        <w:rPr>
          <w:sz w:val="28"/>
          <w:szCs w:val="28"/>
        </w:rPr>
        <w:t>от ________________№ _________</w:t>
      </w:r>
      <w:r>
        <w:rPr>
          <w:color w:themeColor="background1" w:val="FFFFFF"/>
          <w:sz w:val="28"/>
          <w:szCs w:val="28"/>
          <w:u w:val="single"/>
        </w:rPr>
        <w:t>.</w:t>
      </w:r>
    </w:p>
    <w:p>
      <w:pPr>
        <w:pStyle w:val="Normal"/>
        <w:tabs>
          <w:tab w:val="clear" w:pos="720"/>
          <w:tab w:val="left" w:pos="993" w:leader="none"/>
          <w:tab w:val="left" w:pos="5670" w:leader="none"/>
          <w:tab w:val="left" w:pos="5812" w:leader="none"/>
          <w:tab w:val="left" w:pos="9498" w:leader="none"/>
        </w:tabs>
        <w:suppressAutoHyphens w:val="true"/>
        <w:spacing w:lineRule="exact" w:line="320"/>
        <w:ind w:firstLine="31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tabs>
          <w:tab w:val="clear" w:pos="720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Размеры основных окладов (основных должностных окладов, основных ставок заработной платы) работников учреждения, на основе отнесения занимаемых ими должностей рабочих к ПКГ по профессиям рабочих первого и второго уровней</w:t>
      </w:r>
    </w:p>
    <w:p>
      <w:pPr>
        <w:pStyle w:val="Normal"/>
        <w:tabs>
          <w:tab w:val="clear" w:pos="720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a5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2"/>
        <w:gridCol w:w="4676"/>
        <w:gridCol w:w="3086"/>
      </w:tblGrid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Профессиональная квалификационная группа профессий рабочих первого уровня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Наименование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1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Профессии рабочих, отнесенных к первому квалификационному уровню, при выполнении работ по профессии с производственным наименованием «старший» (старший по смене)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Профессиональная квалификационная группа профессий</w:t>
            </w:r>
          </w:p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рабочих второго уровня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1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Наименование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Наименование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Оператор средств массовой информации</w:t>
            </w:r>
          </w:p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76" w:type="dxa"/>
            <w:tcBorders/>
          </w:tcPr>
          <w:p>
            <w:pPr>
              <w:pStyle w:val="S16"/>
              <w:shd w:val="clear" w:color="auto" w:fill="FFFFFF"/>
              <w:suppressAutoHyphens w:val="true"/>
              <w:spacing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22272F"/>
                <w:kern w:val="0"/>
                <w:sz w:val="28"/>
                <w:szCs w:val="28"/>
                <w:lang w:val="ru-RU" w:eastAsia="ru-RU" w:bidi="ar-SA"/>
              </w:rPr>
              <w:t>Среднее профессиональное образование - программы подготовки специалистов среднего звена. Дополнительные профессиональные программы - программы повышения квалификации, программы профессиональной переподготовки без предъявления к стажу работы</w:t>
            </w:r>
          </w:p>
        </w:tc>
        <w:tc>
          <w:tcPr>
            <w:tcW w:w="3086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6560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3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Наименование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Оператор средств массовой информации</w:t>
            </w:r>
          </w:p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76" w:type="dxa"/>
            <w:tcBorders/>
          </w:tcPr>
          <w:p>
            <w:pPr>
              <w:pStyle w:val="S16"/>
              <w:shd w:val="clear" w:color="auto" w:fill="FFFFFF"/>
              <w:suppressAutoHyphens w:val="true"/>
              <w:spacing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22272F"/>
                <w:kern w:val="0"/>
                <w:sz w:val="28"/>
                <w:szCs w:val="28"/>
                <w:lang w:val="ru-RU" w:eastAsia="ru-RU" w:bidi="ar-SA"/>
              </w:rPr>
              <w:t>Среднее профессиональное образование - программы подготовки специалистов среднего звена. Дополнительные профессиональные программы - программы повышения квалификации, программы профессиональной переподготовки и опыт работы оператором не менее двух лет</w:t>
            </w:r>
          </w:p>
        </w:tc>
        <w:tc>
          <w:tcPr>
            <w:tcW w:w="308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7161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4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Наименование профессий рабочих, предусмотренных 1-3 квалификационными уровнями настоящей профессиональной квалификационной группой, выполняющих важные (особо важные) и ответственные (особо ответственные) работы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tabs>
                <w:tab w:val="clear" w:pos="720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</w:tbl>
    <w:p>
      <w:pPr>
        <w:pStyle w:val="Normal"/>
        <w:tabs>
          <w:tab w:val="clear" w:pos="720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  <w:tab w:val="left" w:pos="9498" w:leader="none"/>
        </w:tabs>
        <w:suppressAutoHyphens w:val="true"/>
        <w:spacing w:lineRule="exact" w:line="32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  <w:t>«Согласовано»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управления правового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обеспечения и контроля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 А.М. Захарова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 »______________    2024г.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администрации,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управления делами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______________________ Г.Н. Смирнова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 »______________    2024г.</w:t>
      </w:r>
    </w:p>
    <w:p>
      <w:pPr>
        <w:pStyle w:val="Normal"/>
        <w:overflowPunct w:val="true"/>
        <w:jc w:val="right"/>
        <w:rPr>
          <w:bCs/>
          <w:smallCaps/>
          <w:sz w:val="24"/>
          <w:szCs w:val="24"/>
        </w:rPr>
      </w:pPr>
      <w:r>
        <w:rPr>
          <w:bCs/>
          <w:smallCap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администрации,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финансового управления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______________________ Э.В. Родина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 »______________    2024г.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3"/>
        <w:shd w:val="clear" w:color="auto" w:fill="auto"/>
        <w:spacing w:lineRule="auto" w:line="240" w:before="0" w:after="0"/>
        <w:rPr>
          <w:b/>
          <w:sz w:val="24"/>
        </w:rPr>
      </w:pPr>
      <w:r>
        <w:rPr>
          <w:sz w:val="24"/>
        </w:rPr>
        <w:t>Директора МКУ «РИЦ» ВГО</w:t>
      </w:r>
    </w:p>
    <w:p>
      <w:pPr>
        <w:pStyle w:val="23"/>
        <w:shd w:val="clear" w:color="auto" w:fill="auto"/>
        <w:spacing w:lineRule="auto" w:line="240" w:before="0" w:after="0"/>
        <w:rPr>
          <w:b/>
          <w:sz w:val="24"/>
        </w:rPr>
      </w:pPr>
      <w:r>
        <w:rPr>
          <w:sz w:val="24"/>
        </w:rPr>
        <w:t>________________________О.Ю. Трофимова</w:t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sz w:val="24"/>
        </w:rPr>
        <w:t>«____» _______________ 2024 г.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22c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b40499"/>
    <w:pPr>
      <w:keepNext w:val="true"/>
      <w:widowControl/>
      <w:jc w:val="center"/>
      <w:outlineLvl w:val="0"/>
    </w:pPr>
    <w:rPr>
      <w:b/>
      <w:spacing w:val="200"/>
      <w:sz w:val="40"/>
    </w:rPr>
  </w:style>
  <w:style w:type="paragraph" w:styleId="Heading2">
    <w:name w:val="Heading 2"/>
    <w:basedOn w:val="Normal"/>
    <w:next w:val="Normal"/>
    <w:link w:val="22"/>
    <w:unhideWhenUsed/>
    <w:qFormat/>
    <w:rsid w:val="005b2f01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qFormat/>
    <w:rsid w:val="005e7e99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basedOn w:val="DefaultParagraphFont"/>
    <w:link w:val="23"/>
    <w:qFormat/>
    <w:rsid w:val="001c746f"/>
    <w:rPr>
      <w:sz w:val="28"/>
      <w:szCs w:val="28"/>
      <w:shd w:fill="FFFFFF" w:val="clear"/>
    </w:rPr>
  </w:style>
  <w:style w:type="character" w:styleId="Style13" w:customStyle="1">
    <w:name w:val="Основной текст с отступом Знак"/>
    <w:basedOn w:val="DefaultParagraphFont"/>
    <w:qFormat/>
    <w:rsid w:val="008d6f0b"/>
    <w:rPr/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8d6f0b"/>
    <w:rPr/>
  </w:style>
  <w:style w:type="character" w:styleId="22" w:customStyle="1">
    <w:name w:val="Заголовок 2 Знак"/>
    <w:basedOn w:val="DefaultParagraphFont"/>
    <w:qFormat/>
    <w:rsid w:val="005b2f01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rsid w:val="00b40499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 w:customStyle="1">
    <w:name w:val="распоряжение"/>
    <w:basedOn w:val="Normal"/>
    <w:next w:val="BodyText"/>
    <w:qFormat/>
    <w:rsid w:val="00b40499"/>
    <w:pPr>
      <w:widowControl/>
      <w:jc w:val="center"/>
    </w:pPr>
    <w:rPr/>
  </w:style>
  <w:style w:type="paragraph" w:styleId="ConsPlusNormal" w:customStyle="1">
    <w:name w:val="ConsPlusNormal"/>
    <w:qFormat/>
    <w:rsid w:val="00c44c6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84693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2"/>
    <w:qFormat/>
    <w:rsid w:val="005e7e99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c7822"/>
    <w:pPr>
      <w:widowControl/>
      <w:spacing w:beforeAutospacing="1" w:afterAutospacing="1"/>
    </w:pPr>
    <w:rPr>
      <w:sz w:val="24"/>
      <w:szCs w:val="24"/>
    </w:rPr>
  </w:style>
  <w:style w:type="paragraph" w:styleId="23" w:customStyle="1">
    <w:name w:val="Основной текст (2)"/>
    <w:basedOn w:val="Normal"/>
    <w:link w:val="2"/>
    <w:qFormat/>
    <w:rsid w:val="001c746f"/>
    <w:pPr>
      <w:shd w:val="clear" w:color="auto" w:fill="FFFFFF"/>
      <w:spacing w:lineRule="exact" w:line="322" w:before="480" w:after="300"/>
    </w:pPr>
    <w:rPr>
      <w:sz w:val="28"/>
      <w:szCs w:val="28"/>
    </w:rPr>
  </w:style>
  <w:style w:type="paragraph" w:styleId="BodyTextIndent">
    <w:name w:val="Body Text Indent"/>
    <w:basedOn w:val="Normal"/>
    <w:link w:val="Style13"/>
    <w:rsid w:val="008d6f0b"/>
    <w:pPr>
      <w:spacing w:before="0" w:after="120"/>
      <w:ind w:left="283"/>
    </w:pPr>
    <w:rPr/>
  </w:style>
  <w:style w:type="paragraph" w:styleId="BodyTextIndent2">
    <w:name w:val="Body Text Indent 2"/>
    <w:basedOn w:val="Normal"/>
    <w:link w:val="21"/>
    <w:qFormat/>
    <w:rsid w:val="008d6f0b"/>
    <w:pPr>
      <w:spacing w:lineRule="auto" w:line="480" w:before="0" w:after="120"/>
      <w:ind w:left="283"/>
    </w:pPr>
    <w:rPr/>
  </w:style>
  <w:style w:type="paragraph" w:styleId="ConsNormal" w:customStyle="1">
    <w:name w:val="ConsNormal"/>
    <w:qFormat/>
    <w:rsid w:val="008d6f0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NoSpacing">
    <w:name w:val="No Spacing"/>
    <w:uiPriority w:val="1"/>
    <w:qFormat/>
    <w:rsid w:val="008d6f0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7" w:customStyle="1">
    <w:name w:val="Нормальный (таблица)"/>
    <w:basedOn w:val="Normal"/>
    <w:next w:val="Normal"/>
    <w:qFormat/>
    <w:rsid w:val="00a82ab5"/>
    <w:pPr>
      <w:jc w:val="both"/>
    </w:pPr>
    <w:rPr>
      <w:rFonts w:ascii="Arial" w:hAnsi="Arial"/>
      <w:sz w:val="24"/>
      <w:szCs w:val="24"/>
    </w:rPr>
  </w:style>
  <w:style w:type="paragraph" w:styleId="S16" w:customStyle="1">
    <w:name w:val="s_16"/>
    <w:basedOn w:val="Normal"/>
    <w:qFormat/>
    <w:rsid w:val="00cf1059"/>
    <w:pPr>
      <w:widowControl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44c6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58A2A-C9D9-403B-B7B6-62E07D6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LibreOffice/7.6.7.2$Linux_X86_64 LibreOffice_project/60$Build-2</Application>
  <AppVersion>15.0000</AppVersion>
  <Pages>10</Pages>
  <Words>1388</Words>
  <Characters>10757</Characters>
  <CharactersWithSpaces>12380</CharactersWithSpaces>
  <Paragraphs>214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2023-12-17T05:17:00Z</dcterms:created>
  <dc:creator>Admin</dc:creator>
  <dc:description/>
  <dc:language>ru-RU</dc:language>
  <cp:lastModifiedBy/>
  <cp:lastPrinted>2024-12-16T22:56:11Z</cp:lastPrinted>
  <dcterms:modified xsi:type="dcterms:W3CDTF">2024-12-16T22:56:48Z</dcterms:modified>
  <cp:revision>17</cp:revision>
  <dc:subject/>
  <dc:title>АДМИНИСТРАЦИЯ ВИЛЮЧИНСКОГО ГОРОДСКОГО ОКРУГА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