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overflowPunct w:val="true"/>
        <w:ind w:left="-540" w:hanging="0"/>
        <w:jc w:val="center"/>
        <w:rPr>
          <w:bCs/>
          <w:smallCaps/>
          <w:sz w:val="28"/>
          <w:szCs w:val="28"/>
        </w:rPr>
      </w:pPr>
      <w:r>
        <w:rPr>
          <w:bCs/>
          <w:smallCaps/>
          <w:sz w:val="28"/>
          <w:szCs w:val="28"/>
        </w:rPr>
        <w:t xml:space="preserve">        </w:t>
      </w:r>
      <w:r>
        <w:rPr>
          <w:rFonts w:ascii="Tempora LGC Uni" w:hAnsi="Tempora LGC Uni"/>
          <w:bCs/>
          <w:smallCaps/>
          <w:sz w:val="28"/>
          <w:szCs w:val="28"/>
        </w:rPr>
        <w:t>Администрация Вилючинского городского округа</w:t>
      </w:r>
    </w:p>
    <w:p>
      <w:pPr>
        <w:pStyle w:val="Normal"/>
        <w:overflowPunct w:val="true"/>
        <w:jc w:val="center"/>
        <w:rPr>
          <w:rFonts w:ascii="Tempora LGC Uni" w:hAnsi="Tempora LGC Uni"/>
        </w:rPr>
      </w:pPr>
      <w:r>
        <w:rPr>
          <w:rFonts w:ascii="Tempora LGC Uni" w:hAnsi="Tempora LGC Uni"/>
          <w:bCs/>
          <w:smallCaps/>
          <w:sz w:val="28"/>
          <w:szCs w:val="28"/>
        </w:rPr>
        <w:t xml:space="preserve">закрытого административно-территориального образования </w:t>
      </w:r>
    </w:p>
    <w:p>
      <w:pPr>
        <w:pStyle w:val="Normal"/>
        <w:overflowPunct w:val="true"/>
        <w:jc w:val="center"/>
        <w:rPr>
          <w:rFonts w:ascii="Tempora LGC Uni" w:hAnsi="Tempora LGC Uni"/>
        </w:rPr>
      </w:pPr>
      <w:r>
        <w:rPr>
          <w:rFonts w:ascii="Tempora LGC Uni" w:hAnsi="Tempora LGC Uni"/>
          <w:bCs/>
          <w:smallCaps/>
          <w:sz w:val="28"/>
          <w:szCs w:val="28"/>
        </w:rPr>
        <w:t>города Вилючинска Камчатского края</w:t>
      </w:r>
    </w:p>
    <w:p>
      <w:pPr>
        <w:pStyle w:val="Normal"/>
        <w:overflowPunct w:val="true"/>
        <w:jc w:val="center"/>
        <w:rPr>
          <w:rFonts w:ascii="Tempora LGC Uni" w:hAnsi="Tempora LGC Uni"/>
          <w:sz w:val="20"/>
        </w:rPr>
      </w:pPr>
      <w:r>
        <w:rPr>
          <w:rFonts w:ascii="Tempora LGC Uni" w:hAnsi="Tempora LGC Uni"/>
          <w:sz w:val="20"/>
        </w:rPr>
      </w:r>
    </w:p>
    <w:p>
      <w:pPr>
        <w:pStyle w:val="Normal"/>
        <w:overflowPunct w:val="true"/>
        <w:jc w:val="center"/>
        <w:rPr>
          <w:rFonts w:ascii="Tempora LGC Uni" w:hAnsi="Tempora LGC Uni"/>
          <w:b/>
          <w:spacing w:val="200"/>
          <w:sz w:val="16"/>
          <w:szCs w:val="16"/>
        </w:rPr>
      </w:pPr>
      <w:r>
        <w:rPr>
          <w:rFonts w:ascii="Tempora LGC Uni" w:hAnsi="Tempora LGC Uni"/>
          <w:b/>
          <w:spacing w:val="200"/>
          <w:sz w:val="16"/>
          <w:szCs w:val="1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1"/>
        <w:rPr>
          <w:rFonts w:ascii="Tempora LGC Uni" w:hAnsi="Tempora LGC Uni"/>
        </w:rPr>
      </w:pPr>
      <w:r>
        <w:rPr>
          <w:rFonts w:ascii="Tempora LGC Uni" w:hAnsi="Tempora LGC Uni"/>
          <w:b/>
          <w:sz w:val="44"/>
          <w:szCs w:val="44"/>
        </w:rPr>
        <w:t>П О С Т А Н О В Л Е Н И Е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sz w:val="26"/>
        </w:rPr>
      </w:pPr>
      <w:r>
        <w:rPr/>
        <w:t>______________                                                                                                                        № ______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г. Вилючинск</w:t>
      </w:r>
    </w:p>
    <w:p>
      <w:pPr>
        <w:pStyle w:val="Normal"/>
        <w:widowControl w:val="false"/>
        <w:tabs>
          <w:tab w:val="clear" w:pos="708"/>
          <w:tab w:val="left" w:pos="3970" w:leader="none"/>
        </w:tabs>
        <w:suppressAutoHyphens w:val="true"/>
        <w:bidi w:val="0"/>
        <w:spacing w:lineRule="auto" w:line="240" w:before="0" w:after="0"/>
        <w:ind w:left="0" w:right="5783" w:hanging="0"/>
        <w:jc w:val="both"/>
        <w:rPr>
          <w:rFonts w:ascii="Tempora LGC Uni" w:hAnsi="Tempora LGC Uni"/>
        </w:rPr>
      </w:pPr>
      <w:r>
        <w:rPr>
          <w:rFonts w:ascii="Tempora LGC Uni" w:hAnsi="Tempora LGC Uni"/>
          <w:color w:val="000000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2025 год</w:t>
      </w:r>
    </w:p>
    <w:p>
      <w:pPr>
        <w:pStyle w:val="Normal"/>
        <w:widowControl w:val="false"/>
        <w:ind w:right="4315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right="4315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 w:val="false"/>
        <w:ind w:right="-5" w:firstLine="708"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Вилючинского городского округа закрытого административно-территориального образования города Вилючинска Камчатского края,</w:t>
      </w:r>
    </w:p>
    <w:p>
      <w:pPr>
        <w:pStyle w:val="Normal"/>
        <w:spacing w:before="100" w:after="100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pacing w:before="100" w:after="100"/>
        <w:jc w:val="both"/>
        <w:rPr>
          <w:rFonts w:ascii="Tempora LGC Uni" w:hAnsi="Tempora LGC Uni"/>
        </w:rPr>
      </w:pPr>
      <w:r>
        <w:rPr>
          <w:rFonts w:ascii="Tempora LGC Uni" w:hAnsi="Tempora LGC Uni"/>
          <w:b/>
          <w:caps/>
          <w:sz w:val="28"/>
          <w:szCs w:val="28"/>
        </w:rPr>
        <w:t>Постановляю:</w:t>
      </w:r>
    </w:p>
    <w:p>
      <w:pPr>
        <w:pStyle w:val="Normal"/>
        <w:widowControl w:val="false"/>
        <w:ind w:right="-5" w:firstLine="708"/>
        <w:jc w:val="both"/>
        <w:rPr/>
      </w:pPr>
      <w:r>
        <w:rPr>
          <w:rFonts w:ascii="Tempora LGC Uni" w:hAnsi="Tempora LGC Uni"/>
          <w:sz w:val="28"/>
          <w:szCs w:val="28"/>
        </w:rPr>
        <w:t xml:space="preserve">1. Утвердить </w:t>
      </w:r>
      <w:hyperlink w:anchor="sub_22">
        <w:r>
          <w:rPr>
            <w:rFonts w:ascii="Tempora LGC Uni" w:hAnsi="Tempora LGC Uni"/>
            <w:color w:val="auto"/>
            <w:sz w:val="28"/>
            <w:szCs w:val="28"/>
          </w:rPr>
          <w:t>Программу</w:t>
        </w:r>
      </w:hyperlink>
      <w:r>
        <w:rPr>
          <w:rFonts w:ascii="Tempora LGC Uni" w:hAnsi="Tempora LGC Uni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2025 год согласно приложению к настоящему постановлению.</w:t>
      </w:r>
    </w:p>
    <w:p>
      <w:pPr>
        <w:pStyle w:val="Normal"/>
        <w:widowControl w:val="false"/>
        <w:ind w:right="-5" w:firstLine="708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2. Директору муниципального казенного учреждения «Ресурсно-информационный центр» Вилючинского городского округа О.Ю. Трофимовой  настоящее постановление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widowControl w:val="false"/>
        <w:ind w:right="-5" w:firstLine="708"/>
        <w:jc w:val="both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</w:p>
    <w:p>
      <w:pPr>
        <w:pStyle w:val="Normal"/>
        <w:widowControl w:val="false"/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240"/>
        <w:ind w:left="0" w:right="-5" w:hang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Вилючинского</w:t>
      </w:r>
    </w:p>
    <w:p>
      <w:pPr>
        <w:sectPr>
          <w:type w:val="nextPage"/>
          <w:pgSz w:w="11906" w:h="16838"/>
          <w:pgMar w:left="1304" w:right="567" w:gutter="0" w:header="0" w:top="96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ind w:right="-5" w:hang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</w:t>
        <w:tab/>
        <w:tab/>
        <w:tab/>
        <w:tab/>
        <w:tab/>
        <w:tab/>
        <w:t xml:space="preserve">                          И.В. Головчак</w:t>
      </w:r>
    </w:p>
    <w:p>
      <w:pPr>
        <w:pStyle w:val="Normal"/>
        <w:tabs>
          <w:tab w:val="clear" w:pos="708"/>
          <w:tab w:val="left" w:pos="0" w:leader="none"/>
          <w:tab w:val="left" w:pos="8140" w:leader="none"/>
        </w:tabs>
        <w:jc w:val="right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Приложение</w:t>
      </w:r>
    </w:p>
    <w:p>
      <w:pPr>
        <w:pStyle w:val="Normal"/>
        <w:jc w:val="right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к постановлению администрации</w:t>
      </w:r>
    </w:p>
    <w:p>
      <w:pPr>
        <w:pStyle w:val="Normal"/>
        <w:jc w:val="right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Вилючинского городского округа</w:t>
      </w:r>
    </w:p>
    <w:p>
      <w:pPr>
        <w:pStyle w:val="Normal"/>
        <w:jc w:val="right"/>
        <w:rPr>
          <w:rFonts w:ascii="Tempora LGC Uni" w:hAnsi="Tempora LGC Uni"/>
        </w:rPr>
      </w:pPr>
      <w:bookmarkStart w:id="0" w:name="_GoBack"/>
      <w:bookmarkEnd w:id="0"/>
      <w:r>
        <w:rPr>
          <w:rFonts w:ascii="Tempora LGC Uni" w:hAnsi="Tempora LGC Uni"/>
          <w:sz w:val="28"/>
          <w:szCs w:val="28"/>
        </w:rPr>
        <w:t>от _________ № ________</w:t>
      </w:r>
    </w:p>
    <w:p>
      <w:pPr>
        <w:pStyle w:val="Normal"/>
        <w:tabs>
          <w:tab w:val="clear" w:pos="708"/>
          <w:tab w:val="left" w:pos="0" w:leader="none"/>
          <w:tab w:val="left" w:pos="4220" w:leader="none"/>
          <w:tab w:val="center" w:pos="5017" w:leader="none"/>
        </w:tabs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 xml:space="preserve">Программа профилактики рисков 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 xml:space="preserve">причинения вреда (ущерба) охраняемым законом ценностям 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 xml:space="preserve">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на 2025 год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</w:rPr>
      </w:pPr>
      <w:r>
        <w:rPr>
          <w:rFonts w:ascii="Tempora LGC Uni" w:hAnsi="Tempora LGC Uni"/>
          <w:b/>
          <w:sz w:val="28"/>
          <w:szCs w:val="28"/>
        </w:rPr>
        <w:t>1. Общие положения</w:t>
      </w:r>
    </w:p>
    <w:p>
      <w:pPr>
        <w:pStyle w:val="Normal"/>
        <w:tabs>
          <w:tab w:val="clear" w:pos="708"/>
          <w:tab w:val="left" w:pos="0" w:leader="none"/>
        </w:tabs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left="0" w:right="0" w:firstLine="680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1.1.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2025 год (далее – Программа профилактики) разработана в соответствии со статьей со статьей 44 Федерального закона от 31.07.2020 № 248-ФЗ «О государственном контроле (надзоре) и муниципальном контроле в Российской Федерации» (далее - Федеральный закон № 248-ФЗ),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Думы Вилючинского городского округа от 06.09.2021 № 91/19-7 «Об утверждении Положения о муниципальном контроле на автомобильном транспорте, городском наземном электрическом транспорте и в дорожном хозяйстве» (далее – муниципальный контроль) и направлена на достижение целей и задач Программы профилактики.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left="0" w:right="0" w:firstLine="680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1.2. Программа профилактики разработана на 2025 год.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left="0" w:right="0" w:firstLine="680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1.3. Органом, уполномоченным на реализацию Программы профилактики, является Управление правового обеспечения и контроля администрации Вилючинского городского округа (далее – Управление ПО и контроля ВГО).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</w:rPr>
      </w:pPr>
      <w:r>
        <w:rPr>
          <w:rFonts w:ascii="Tempora LGC Uni" w:hAnsi="Tempora LGC Uni"/>
          <w:b/>
          <w:sz w:val="28"/>
          <w:szCs w:val="28"/>
        </w:rPr>
        <w:t>2. Анализ текущего состояния осуществления муниципального контроля на автомобильном транспорте, городском наземном электрическом транспорте и в дорожном хозяйстве,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spacing w:before="0" w:after="0"/>
        <w:ind w:firstLine="567"/>
        <w:contextualSpacing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2.1. Предметом муниципального контроля является соблюдение юридическими лицами, индивидуальными предпринимателями обязательных требований, предусмотренных Федеральными законами от 08.11.2007 № 259-ФЗ «Устав автомобильного транспорта и городского наземного электрического транспорта» и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– обязательные требования):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2.2. Объектами муниципального контроля являются: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2) здания, помещения, сооружения, линейные объекты, территории, оборудование, устройства, предметы и другие объекты, которыми граждане и организации владеют и (или) пользуются и к которым предъявляются обязательные требования (далее - производственные объекты).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2.3. Под контролируемым лицом при осуществлении муниципального контроля понимаются организации, указанные в статье 31 Федерального закона              № 248-ФЗ, деятельность, действия или результаты деятельности которых либо производственные объекты, находящиеся во владении и (или) в пользовании которых, подлежат муниципальному контролю.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2.4. При осуществлении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 Принимая во внимание действие в 202</w:t>
      </w:r>
      <w:r>
        <w:rPr>
          <w:rFonts w:ascii="Tempora LGC Uni" w:hAnsi="Tempora LGC Uni"/>
          <w:sz w:val="28"/>
          <w:szCs w:val="28"/>
        </w:rPr>
        <w:t>4</w:t>
      </w:r>
      <w:r>
        <w:rPr>
          <w:rFonts w:ascii="Tempora LGC Uni" w:hAnsi="Tempora LGC Uni"/>
          <w:sz w:val="28"/>
          <w:szCs w:val="28"/>
        </w:rPr>
        <w:t xml:space="preserve"> году Постановления Правительства РФ от 10.03.2022 № 336 «Об особенностях организации и осуществления государственного контроля (надзора), муниципального контроля», контрольным органом осуществлено информирование контролируемых и иных заинтересованных лиц по вопросам соблюдения обязательных требований посредством размещения и поддержания в актуальном состоянии соответствующих сведений, установленных Федеральным законом № 248-ФЗ, на официальном сайте органов местного самоуправления Вилючинского городского округа в информационно-телекоммуникационной сети Интернет </w:t>
      </w:r>
      <w:hyperlink r:id="rId2">
        <w:r>
          <w:rPr>
            <w:rFonts w:ascii="Tempora LGC Uni" w:hAnsi="Tempora LGC Uni"/>
            <w:sz w:val="28"/>
            <w:szCs w:val="28"/>
          </w:rPr>
          <w:t>www.viluchinsk-city.ru</w:t>
        </w:r>
      </w:hyperlink>
      <w:r>
        <w:rPr>
          <w:rFonts w:ascii="Tempora LGC Uni" w:hAnsi="Tempora LGC Uni"/>
          <w:sz w:val="28"/>
          <w:szCs w:val="28"/>
        </w:rPr>
        <w:t>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contextualSpacing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За 9 месяцев 2024 года отделом муниципального контроля Управления ПО и контроля ВГО по обращениям граждан и уполномоченных органов проведено 3 выездных обследования, выдано два предостережения о недопустимости нарушения обязательных требований в рамках муниципального контроля на автомобильном транспорте, городском наземном электрическом транспорте и в дорожном хозяйстве.</w:t>
      </w:r>
    </w:p>
    <w:p>
      <w:pPr>
        <w:pStyle w:val="Normal"/>
        <w:tabs>
          <w:tab w:val="clear" w:pos="708"/>
          <w:tab w:val="left" w:pos="0" w:leader="none"/>
        </w:tabs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</w:rPr>
      </w:pPr>
      <w:r>
        <w:rPr>
          <w:rFonts w:ascii="Tempora LGC Uni" w:hAnsi="Tempora LGC Uni"/>
          <w:b/>
          <w:sz w:val="28"/>
          <w:szCs w:val="28"/>
        </w:rPr>
        <w:t>3. Цели и задачи реализации Программы профилактики</w:t>
      </w:r>
    </w:p>
    <w:p>
      <w:pPr>
        <w:pStyle w:val="Normal"/>
        <w:tabs>
          <w:tab w:val="clear" w:pos="708"/>
          <w:tab w:val="left" w:pos="0" w:leader="none"/>
        </w:tabs>
        <w:rPr>
          <w:rFonts w:ascii="Tempora LGC Uni" w:hAnsi="Tempora LGC Uni"/>
          <w:b/>
          <w:sz w:val="28"/>
          <w:szCs w:val="28"/>
        </w:rPr>
      </w:pPr>
      <w:r>
        <w:rPr>
          <w:rFonts w:ascii="Tempora LGC Uni" w:hAnsi="Tempora LGC Uni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bidi w:val="0"/>
        <w:spacing w:lineRule="auto" w:line="240"/>
        <w:ind w:left="0" w:right="0" w:firstLine="680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3.1. Целями Программы профилактики являются: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bidi w:val="0"/>
        <w:spacing w:lineRule="auto" w:line="240"/>
        <w:ind w:left="0" w:right="0" w:firstLine="680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bidi w:val="0"/>
        <w:spacing w:lineRule="auto" w:line="240"/>
        <w:ind w:left="0" w:right="0" w:firstLine="680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bidi w:val="0"/>
        <w:spacing w:lineRule="auto" w:line="240"/>
        <w:ind w:left="0" w:right="0" w:firstLine="680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bidi w:val="0"/>
        <w:spacing w:lineRule="auto" w:line="240"/>
        <w:ind w:left="0" w:right="0" w:firstLine="680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3.2. Задачами Программы профилактики являются: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680"/>
        <w:contextualSpacing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объектов дорожной деятельности;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680"/>
        <w:contextualSpacing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2) повышение правосознания и правовой культуры юридических лиц, индивидуальных предпринимателей и граждан в области автомобильных дорог и дорожной деятельности;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680"/>
        <w:contextualSpacing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</w:rPr>
      </w:pPr>
      <w:r>
        <w:rPr>
          <w:rFonts w:ascii="Tempora LGC Uni" w:hAnsi="Tempora LGC Uni"/>
          <w:b/>
          <w:sz w:val="28"/>
          <w:szCs w:val="28"/>
        </w:rPr>
        <w:t>4. Перечень профилактических мероприятий, сроки (периодичность) их проведения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tbl>
      <w:tblPr>
        <w:tblStyle w:val="a9"/>
        <w:tblW w:w="97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9"/>
        <w:gridCol w:w="4711"/>
        <w:gridCol w:w="2040"/>
        <w:gridCol w:w="2439"/>
      </w:tblGrid>
      <w:tr>
        <w:trPr/>
        <w:tc>
          <w:tcPr>
            <w:tcW w:w="569" w:type="dxa"/>
            <w:tcBorders/>
            <w:vAlign w:val="center"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№</w:t>
            </w:r>
          </w:p>
        </w:tc>
        <w:tc>
          <w:tcPr>
            <w:tcW w:w="4711" w:type="dxa"/>
            <w:tcBorders/>
            <w:vAlign w:val="center"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Наименование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профилактического мероприятия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Срок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реализации</w:t>
            </w:r>
          </w:p>
        </w:tc>
        <w:tc>
          <w:tcPr>
            <w:tcW w:w="2439" w:type="dxa"/>
            <w:tcBorders/>
            <w:vAlign w:val="center"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Ответственные должностные лица</w:t>
            </w:r>
          </w:p>
        </w:tc>
      </w:tr>
      <w:tr>
        <w:trPr>
          <w:trHeight w:val="3062" w:hRule="atLeast"/>
        </w:trPr>
        <w:tc>
          <w:tcPr>
            <w:tcW w:w="569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1.</w:t>
            </w:r>
          </w:p>
        </w:tc>
        <w:tc>
          <w:tcPr>
            <w:tcW w:w="47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ascii="Tempora LGC Uni" w:hAnsi="Tempora LGC Uni"/>
                <w:kern w:val="0"/>
                <w:sz w:val="26"/>
                <w:szCs w:val="26"/>
                <w:lang w:val="ru-RU" w:bidi="ar-SA"/>
              </w:rPr>
              <w:t xml:space="preserve"> </w:t>
            </w:r>
            <w:r>
              <w:rPr>
                <w:rFonts w:ascii="Tempora LGC Uni" w:hAnsi="Tempora LGC Uni"/>
                <w:kern w:val="0"/>
                <w:sz w:val="26"/>
                <w:szCs w:val="26"/>
                <w:lang w:val="ru-RU" w:bidi="ar-SA"/>
              </w:rPr>
              <w:t xml:space="preserve">Информирование контролируемых и иных заинтересованных лиц по вопросам соблюдения обязательных требований посредством размещения и поддержания в актуальном состоянии соответствующих сведений, установленных Федеральным законом № 248-ФЗ, на официальном сайте органов местного самоуправления Вилючинского городского округа в информационно-телекоммуникационной сети Интернет </w:t>
            </w:r>
            <w:hyperlink r:id="rId3">
              <w:r>
                <w:rPr>
                  <w:rFonts w:ascii="Tempora LGC Uni" w:hAnsi="Tempora LGC Uni"/>
                  <w:color w:val="auto"/>
                  <w:kern w:val="0"/>
                  <w:sz w:val="26"/>
                  <w:szCs w:val="26"/>
                  <w:u w:val="none"/>
                  <w:lang w:val="ru-RU" w:bidi="ar-SA"/>
                </w:rPr>
                <w:t>www.viluchinsk-city.ru</w:t>
              </w:r>
            </w:hyperlink>
          </w:p>
        </w:tc>
        <w:tc>
          <w:tcPr>
            <w:tcW w:w="2040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в течение года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(по мере необходимости)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sz w:val="26"/>
                <w:szCs w:val="26"/>
              </w:rPr>
            </w:r>
          </w:p>
        </w:tc>
        <w:tc>
          <w:tcPr>
            <w:tcW w:w="2439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Заместитель начальника Управления, начальник отдела муниципального контроля Управления ПО и контроля ВГО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sz w:val="26"/>
                <w:szCs w:val="26"/>
              </w:rPr>
            </w:r>
          </w:p>
        </w:tc>
      </w:tr>
      <w:tr>
        <w:trPr/>
        <w:tc>
          <w:tcPr>
            <w:tcW w:w="569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2.</w:t>
            </w:r>
          </w:p>
        </w:tc>
        <w:tc>
          <w:tcPr>
            <w:tcW w:w="4711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Консультирование по вопросам, связанным с организацией и осуществлением муниципального контроля</w:t>
            </w:r>
            <w:r>
              <w:rPr>
                <w:rFonts w:ascii="Tempora LGC Uni" w:hAnsi="Tempora LGC Uni"/>
                <w:kern w:val="0"/>
                <w:sz w:val="26"/>
                <w:szCs w:val="26"/>
                <w:lang w:val="ru-RU" w:bidi="ar-SA"/>
              </w:rPr>
              <w:t xml:space="preserve"> </w:t>
            </w: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на автомобильном транспорте, городском наземном электрическом транспорте и в дорожном хозяйстве; порядком осуществления контрольных мероприятий; порядком обжалования действий (бездействия) должностных лиц контрольного органа,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2040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в течение года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sz w:val="26"/>
                <w:szCs w:val="26"/>
              </w:rPr>
            </w:r>
          </w:p>
        </w:tc>
        <w:tc>
          <w:tcPr>
            <w:tcW w:w="2439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Должностные лица отдела муниципального контроля Управления ПО и контроля ВГО (главные специалисты-эксперты отдела, ведущий консультант отдела, советники отдела, заместитель начальника управления-начальник отдела)</w:t>
            </w:r>
          </w:p>
        </w:tc>
      </w:tr>
      <w:tr>
        <w:trPr/>
        <w:tc>
          <w:tcPr>
            <w:tcW w:w="569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3.</w:t>
            </w:r>
          </w:p>
        </w:tc>
        <w:tc>
          <w:tcPr>
            <w:tcW w:w="4711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Объявление контролируемому лицу предостережения о недопустимости нарушения обязательных требований с предложением принять меры по обеспечению соблюдения обязательных требований  в случае наличия у Управления ПО и контроля ВГО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2040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в течение года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sz w:val="26"/>
                <w:szCs w:val="26"/>
              </w:rPr>
            </w:r>
          </w:p>
        </w:tc>
        <w:tc>
          <w:tcPr>
            <w:tcW w:w="2439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Должностные лица отдела муниципального контроля Управления ПО и контроля ВГО (главные специалисты-эксперты отдела, ведущий консультант отдела, советники отдела, заместитель начальника управления-начальник отдела)</w:t>
            </w:r>
          </w:p>
        </w:tc>
      </w:tr>
      <w:tr>
        <w:trPr/>
        <w:tc>
          <w:tcPr>
            <w:tcW w:w="569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4.</w:t>
            </w:r>
          </w:p>
        </w:tc>
        <w:tc>
          <w:tcPr>
            <w:tcW w:w="471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before="0" w:after="0"/>
              <w:jc w:val="left"/>
              <w:rPr>
                <w:rFonts w:ascii="Tempora LGC Uni" w:hAnsi="Tempora LGC Uni"/>
                <w:kern w:val="0"/>
                <w:sz w:val="26"/>
                <w:szCs w:val="26"/>
                <w:lang w:val="ru-RU" w:bidi="ar-SA"/>
              </w:rPr>
            </w:pPr>
            <w:r>
              <w:rPr>
                <w:rFonts w:ascii="Tempora LGC Uni" w:hAnsi="Tempora LGC Uni"/>
                <w:kern w:val="0"/>
                <w:sz w:val="26"/>
                <w:szCs w:val="26"/>
                <w:lang w:val="ru-RU" w:bidi="ar-SA"/>
              </w:rPr>
              <w:t>Размещение доклада, содержащего результаты обобщения правоприменительной практики, на официальном сайте органов местного самоуправления Вилючинского городского округа в информационно-телекоммуникационной сети Интернет www.viluchinsk-city.ru</w:t>
            </w:r>
          </w:p>
        </w:tc>
        <w:tc>
          <w:tcPr>
            <w:tcW w:w="2040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в течение 5 дней с даты утверждения</w:t>
            </w:r>
          </w:p>
        </w:tc>
        <w:tc>
          <w:tcPr>
            <w:tcW w:w="2439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Заместитель начальника Управления, начальник отдела муниципального контроля Управления ПО и контроля ВГО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sz w:val="26"/>
                <w:szCs w:val="26"/>
              </w:rPr>
            </w:r>
          </w:p>
        </w:tc>
      </w:tr>
    </w:tbl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</w:rPr>
      </w:pPr>
      <w:r>
        <w:rPr>
          <w:rFonts w:ascii="Tempora LGC Uni" w:hAnsi="Tempora LGC Uni"/>
          <w:b/>
          <w:sz w:val="28"/>
          <w:szCs w:val="28"/>
        </w:rPr>
        <w:t>5. Показатели результативности и эффективности реализации Программы профилактики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tbl>
      <w:tblPr>
        <w:tblW w:w="981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8002"/>
        <w:gridCol w:w="1807"/>
      </w:tblGrid>
      <w:tr>
        <w:trPr>
          <w:trHeight w:val="1042" w:hRule="atLeast"/>
        </w:trPr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Исполнение</w:t>
            </w:r>
          </w:p>
          <w:p>
            <w:pPr>
              <w:pStyle w:val="ConsPlusNormal"/>
              <w:widowControl w:val="false"/>
              <w:jc w:val="center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показателя</w:t>
            </w:r>
          </w:p>
          <w:p>
            <w:pPr>
              <w:pStyle w:val="ConsPlusNormal"/>
              <w:widowControl w:val="false"/>
              <w:jc w:val="center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2025 год,</w:t>
            </w:r>
          </w:p>
          <w:p>
            <w:pPr>
              <w:pStyle w:val="ConsPlusNormal"/>
              <w:widowControl w:val="false"/>
              <w:jc w:val="center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%</w:t>
            </w:r>
          </w:p>
        </w:tc>
      </w:tr>
      <w:tr>
        <w:trPr/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Полнота информации, размещенной на официальном сайте органов местного самоуправления Вилючинского городского округа в соответствии со  статьей 46 Федерального закона № 248-ФЗ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100%</w:t>
            </w:r>
          </w:p>
        </w:tc>
      </w:tr>
      <w:tr>
        <w:trPr/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100%</w:t>
            </w:r>
          </w:p>
        </w:tc>
      </w:tr>
    </w:tbl>
    <w:p>
      <w:pPr>
        <w:pStyle w:val="Normal"/>
        <w:tabs>
          <w:tab w:val="clear" w:pos="708"/>
          <w:tab w:val="left" w:pos="0" w:leader="none"/>
        </w:tabs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ab/>
        <w:t xml:space="preserve">Предложения по результатам рассмотрения направлять на адрес электронной почты: </w:t>
      </w:r>
      <w:hyperlink r:id="rId4">
        <w:r>
          <w:rPr>
            <w:rStyle w:val="-"/>
            <w:rFonts w:cs="Times New Roman"/>
            <w:sz w:val="28"/>
            <w:szCs w:val="28"/>
            <w:lang w:val="en-US"/>
          </w:rPr>
          <w:t>mynkontrolvgo</w:t>
        </w:r>
        <w:r>
          <w:rPr>
            <w:rStyle w:val="-"/>
            <w:rFonts w:cs="Times New Roman"/>
            <w:sz w:val="28"/>
            <w:szCs w:val="28"/>
          </w:rPr>
          <w:t>@</w:t>
        </w:r>
        <w:r>
          <w:rPr>
            <w:rStyle w:val="-"/>
            <w:rFonts w:cs="Times New Roman"/>
            <w:sz w:val="28"/>
            <w:szCs w:val="28"/>
            <w:lang w:val="en-US"/>
          </w:rPr>
          <w:t>viladm</w:t>
        </w:r>
        <w:r>
          <w:rPr>
            <w:rStyle w:val="-"/>
            <w:rFonts w:cs="Times New Roman"/>
            <w:sz w:val="28"/>
            <w:szCs w:val="28"/>
          </w:rPr>
          <w:t>.</w:t>
        </w:r>
        <w:r>
          <w:rPr>
            <w:rStyle w:val="-"/>
            <w:rFonts w:cs="Times New Roman"/>
            <w:sz w:val="28"/>
            <w:szCs w:val="28"/>
            <w:lang w:val="en-US"/>
          </w:rPr>
          <w:t>ru</w:t>
        </w:r>
      </w:hyperlink>
      <w:r>
        <w:rPr>
          <w:rFonts w:cs="Times New Roman"/>
          <w:sz w:val="28"/>
          <w:szCs w:val="28"/>
          <w:lang w:val="en-US"/>
        </w:rPr>
        <w:t xml:space="preserve"> </w:t>
      </w:r>
      <w:r>
        <w:rPr>
          <w:rFonts w:ascii="Tempora LGC Uni" w:hAnsi="Tempora LGC Uni"/>
          <w:sz w:val="28"/>
          <w:szCs w:val="28"/>
        </w:rPr>
        <w:t>до 01.11.2024</w:t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730" w:right="567" w:gutter="0" w:header="709" w:top="96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 Sans">
    <w:charset w:val="cc"/>
    <w:family w:val="roman"/>
    <w:pitch w:val="variable"/>
  </w:font>
  <w:font w:name="Arial">
    <w:charset w:val="cc"/>
    <w:family w:val="roman"/>
    <w:pitch w:val="variable"/>
  </w:font>
  <w:font w:name="Tempora LGC Un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7145" cy="1714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" cy="17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3pt;height:1.3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6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ind w:right="360" w:hanging="0"/>
      <w:rPr>
        <w:sz w:val="6"/>
        <w:szCs w:val="6"/>
      </w:rPr>
    </w:pPr>
    <w:r>
      <w:rPr>
        <w:sz w:val="6"/>
        <w:szCs w:val="6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ind w:right="360" w:hanging="0"/>
      <w:rPr>
        <w:sz w:val="6"/>
        <w:szCs w:val="6"/>
      </w:rPr>
    </w:pPr>
    <w:r>
      <w:rPr>
        <w:sz w:val="6"/>
        <w:szCs w:val="6"/>
      </w:rPr>
    </w:r>
  </w:p>
</w:hdr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e3cf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uiPriority w:val="9"/>
    <w:qFormat/>
    <w:rsid w:val="002b02d3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uiPriority w:val="9"/>
    <w:semiHidden/>
    <w:unhideWhenUsed/>
    <w:qFormat/>
    <w:rsid w:val="00de3cfa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uiPriority w:val="9"/>
    <w:semiHidden/>
    <w:qFormat/>
    <w:rsid w:val="00de3cfa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eastAsia="ru-RU"/>
    </w:rPr>
  </w:style>
  <w:style w:type="character" w:styleId="Style7" w:customStyle="1">
    <w:name w:val="Верхний колонтитул Знак"/>
    <w:basedOn w:val="DefaultParagraphFont"/>
    <w:uiPriority w:val="99"/>
    <w:qFormat/>
    <w:rsid w:val="00de3cfa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qFormat/>
    <w:rsid w:val="00de3cfa"/>
    <w:rPr/>
  </w:style>
  <w:style w:type="character" w:styleId="Style8" w:customStyle="1">
    <w:name w:val="Текст выноски Знак"/>
    <w:basedOn w:val="DefaultParagraphFont"/>
    <w:uiPriority w:val="99"/>
    <w:semiHidden/>
    <w:qFormat/>
    <w:rsid w:val="00ab57f9"/>
    <w:rPr>
      <w:rFonts w:ascii="Tahoma" w:hAnsi="Tahoma" w:eastAsia="Times New Roman" w:cs="Tahoma"/>
      <w:sz w:val="16"/>
      <w:szCs w:val="16"/>
      <w:lang w:eastAsia="ru-RU"/>
    </w:rPr>
  </w:style>
  <w:style w:type="character" w:styleId="Style9" w:customStyle="1">
    <w:name w:val="Гипертекстовая ссылка"/>
    <w:basedOn w:val="DefaultParagraphFont"/>
    <w:uiPriority w:val="99"/>
    <w:qFormat/>
    <w:rsid w:val="002b02d3"/>
    <w:rPr>
      <w:color w:val="106BBE"/>
    </w:rPr>
  </w:style>
  <w:style w:type="character" w:styleId="11" w:customStyle="1">
    <w:name w:val="Заголовок 1 Знак"/>
    <w:basedOn w:val="DefaultParagraphFont"/>
    <w:uiPriority w:val="9"/>
    <w:qFormat/>
    <w:rsid w:val="002b02d3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-">
    <w:name w:val="Hyperlink"/>
    <w:basedOn w:val="DefaultParagraphFont"/>
    <w:uiPriority w:val="99"/>
    <w:unhideWhenUsed/>
    <w:rsid w:val="00643432"/>
    <w:rPr>
      <w:color w:val="0000FF" w:themeColor="hyperlink"/>
      <w:u w:val="single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Lohit Devanagari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15">
    <w:name w:val="Колонтитул"/>
    <w:basedOn w:val="Normal"/>
    <w:qFormat/>
    <w:pPr/>
    <w:rPr/>
  </w:style>
  <w:style w:type="paragraph" w:styleId="Style16">
    <w:name w:val="Header"/>
    <w:basedOn w:val="Normal"/>
    <w:uiPriority w:val="99"/>
    <w:rsid w:val="00de3cf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b1644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ab57f9"/>
    <w:pPr/>
    <w:rPr>
      <w:rFonts w:ascii="Tahoma" w:hAnsi="Tahoma" w:cs="Tahoma"/>
      <w:sz w:val="16"/>
      <w:szCs w:val="16"/>
    </w:rPr>
  </w:style>
  <w:style w:type="paragraph" w:styleId="Style17" w:customStyle="1">
    <w:name w:val="Прижатый влево"/>
    <w:basedOn w:val="Normal"/>
    <w:next w:val="Normal"/>
    <w:uiPriority w:val="99"/>
    <w:qFormat/>
    <w:rsid w:val="008d7178"/>
    <w:pPr>
      <w:widowControl w:val="false"/>
    </w:pPr>
    <w:rPr>
      <w:rFonts w:ascii="Arial" w:hAnsi="Arial" w:eastAsia="" w:cs="Arial" w:eastAsiaTheme="minorEastAsia"/>
    </w:rPr>
  </w:style>
  <w:style w:type="paragraph" w:styleId="Style18" w:customStyle="1">
    <w:name w:val="Нормальный (таблица)"/>
    <w:basedOn w:val="Normal"/>
    <w:next w:val="Normal"/>
    <w:uiPriority w:val="99"/>
    <w:qFormat/>
    <w:rsid w:val="008d7178"/>
    <w:pPr>
      <w:widowControl w:val="false"/>
      <w:jc w:val="both"/>
    </w:pPr>
    <w:rPr>
      <w:rFonts w:ascii="Arial" w:hAnsi="Arial" w:eastAsia="" w:cs="Arial" w:eastAsiaTheme="minorEastAsia"/>
    </w:rPr>
  </w:style>
  <w:style w:type="paragraph" w:styleId="ConsPlusTitle" w:customStyle="1">
    <w:name w:val="ConsPlusTitle"/>
    <w:uiPriority w:val="99"/>
    <w:qFormat/>
    <w:rsid w:val="00643432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bd538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ru-RU" w:eastAsia="ru-RU" w:bidi="ar-SA"/>
    </w:rPr>
  </w:style>
  <w:style w:type="paragraph" w:styleId="Style19">
    <w:name w:val="Содержимое врезки"/>
    <w:basedOn w:val="Normal"/>
    <w:qFormat/>
    <w:pPr/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NormalWeb">
    <w:name w:val="Normal (Web)"/>
    <w:basedOn w:val="Normal"/>
    <w:qFormat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5f3aa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viluchinsk-city.ru/" TargetMode="External"/><Relationship Id="rId3" Type="http://schemas.openxmlformats.org/officeDocument/2006/relationships/hyperlink" Target="http://www.viluchinsk-city.ru/" TargetMode="External"/><Relationship Id="rId4" Type="http://schemas.openxmlformats.org/officeDocument/2006/relationships/hyperlink" Target="mailto:mynkontrolvgo@viladm.ru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F944F-B02D-4CAD-85F3-735753B2E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Application>LibreOffice/7.5.0.3$Windows_X86_64 LibreOffice_project/c21113d003cd3efa8c53188764377a8272d9d6de</Application>
  <AppVersion>15.0000</AppVersion>
  <Pages>6</Pages>
  <Words>1285</Words>
  <Characters>10114</Characters>
  <CharactersWithSpaces>11502</CharactersWithSpaces>
  <Paragraphs>83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dc:description/>
  <dc:language>ru-RU</dc:language>
  <cp:lastModifiedBy/>
  <dcterms:modified xsi:type="dcterms:W3CDTF">2024-09-25T17:19:37Z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