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overflowPunct w:val="false"/>
        <w:ind w:left="-540" w:hanging="0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 xml:space="preserve">        </w:t>
      </w:r>
      <w:r>
        <w:rPr>
          <w:bCs/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overflowPunct w:val="false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>
      <w:pPr>
        <w:pStyle w:val="Normal"/>
        <w:overflowPunct w:val="false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>города Вилючинска Камчатского края</w:t>
      </w:r>
    </w:p>
    <w:p>
      <w:pPr>
        <w:pStyle w:val="Normal"/>
        <w:overflowPunct w:val="false"/>
        <w:jc w:val="center"/>
        <w:rPr>
          <w:sz w:val="20"/>
        </w:rPr>
      </w:pPr>
      <w:r>
        <w:rPr>
          <w:sz w:val="20"/>
        </w:rPr>
      </w:r>
    </w:p>
    <w:p>
      <w:pPr>
        <w:pStyle w:val="Normal"/>
        <w:overflowPunct w:val="false"/>
        <w:jc w:val="center"/>
        <w:rPr>
          <w:b/>
          <w:spacing w:val="200"/>
          <w:sz w:val="16"/>
          <w:szCs w:val="16"/>
        </w:rPr>
      </w:pPr>
      <w:r>
        <w:rPr>
          <w:b/>
          <w:spacing w:val="200"/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1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sz w:val="26"/>
        </w:rPr>
      </w:pPr>
      <w:r>
        <w:rPr/>
        <w:t>______________                                                                                                                        № ______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г. Вилючинск</w:t>
      </w:r>
    </w:p>
    <w:p>
      <w:pPr>
        <w:pStyle w:val="Normal"/>
        <w:widowControl w:val="false"/>
        <w:tabs>
          <w:tab w:val="clear" w:pos="708"/>
          <w:tab w:val="left" w:pos="3970" w:leader="none"/>
        </w:tabs>
        <w:suppressAutoHyphens w:val="true"/>
        <w:bidi w:val="0"/>
        <w:spacing w:lineRule="auto" w:line="240" w:before="0" w:after="0"/>
        <w:ind w:left="0" w:right="5783" w:hanging="0"/>
        <w:jc w:val="both"/>
        <w:rPr>
          <w:rFonts w:ascii="Tempora LGC Uni" w:hAnsi="Tempora LGC Uni"/>
        </w:rPr>
      </w:pPr>
      <w:r>
        <w:rPr>
          <w:rFonts w:ascii="Tempora LGC Uni" w:hAnsi="Tempora LGC Uni"/>
          <w:color w:val="00000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 жилищного контроля на территории Вилючинского городского округа на 2025 год</w:t>
      </w:r>
    </w:p>
    <w:p>
      <w:pPr>
        <w:pStyle w:val="Normal"/>
        <w:tabs>
          <w:tab w:val="clear" w:pos="708"/>
          <w:tab w:val="left" w:pos="4536" w:leader="none"/>
        </w:tabs>
        <w:ind w:right="5243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ind w:right="4315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Вилючинского городского округа закрытого административно-территориального образования города Вилючинска Камчатского края,</w:t>
      </w:r>
    </w:p>
    <w:p>
      <w:pPr>
        <w:pStyle w:val="Normal"/>
        <w:spacing w:before="100" w:after="10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pacing w:before="100" w:after="100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b/>
          <w:caps/>
          <w:color w:val="000000"/>
          <w:kern w:val="0"/>
          <w:sz w:val="28"/>
          <w:szCs w:val="28"/>
          <w:lang w:val="ru-RU" w:eastAsia="ru-RU" w:bidi="ar-SA"/>
        </w:rPr>
        <w:t>Постановляю:</w:t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1. Утвердить </w:t>
      </w:r>
      <w:hyperlink w:anchor="sub_22">
        <w:r>
          <w:rPr>
            <w:rFonts w:eastAsia="Times New Roman" w:cs="Times New Roman" w:ascii="Tempora LGC Uni" w:hAnsi="Tempora LGC Uni"/>
            <w:color w:val="000000"/>
            <w:kern w:val="0"/>
            <w:sz w:val="28"/>
            <w:szCs w:val="28"/>
            <w:lang w:val="ru-RU" w:eastAsia="ru-RU" w:bidi="ar-SA"/>
          </w:rPr>
          <w:t>Программу</w:t>
        </w:r>
      </w:hyperlink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 профилактики рисков причинения вреда (ущерба) охраняемым законом ценностям при осуществлении муниципального жилищного контроля на территории Вилючинского городского округа на 2025 год согласно приложению к настоящему постановлению.</w:t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2. Директору муниципального казенного учреждения «Ресурсно-информационный центр» Вилючинского городского округа О.Ю. Трофимовой  настоящее постановление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bCs/>
          <w:color w:val="000000"/>
          <w:kern w:val="0"/>
          <w:sz w:val="28"/>
          <w:szCs w:val="28"/>
          <w:lang w:val="ru-RU" w:eastAsia="ru-RU" w:bidi="ar-SA"/>
        </w:rPr>
        <w:tab/>
      </w:r>
    </w:p>
    <w:p>
      <w:pPr>
        <w:pStyle w:val="Normal"/>
        <w:widowControl w:val="false"/>
        <w:spacing w:lineRule="auto" w:line="240"/>
        <w:ind w:left="0" w:right="-5" w:hanging="0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b/>
          <w:sz w:val="28"/>
          <w:szCs w:val="28"/>
        </w:rPr>
        <w:t>Глава Вилючинского</w:t>
      </w:r>
    </w:p>
    <w:p>
      <w:pPr>
        <w:sectPr>
          <w:type w:val="nextPage"/>
          <w:pgSz w:w="11906" w:h="16838"/>
          <w:pgMar w:left="1304" w:right="567" w:gutter="0" w:header="0" w:top="96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right="-5" w:hanging="0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b/>
          <w:sz w:val="28"/>
          <w:szCs w:val="28"/>
        </w:rPr>
        <w:t>городского округа</w:t>
        <w:tab/>
        <w:tab/>
        <w:tab/>
        <w:tab/>
        <w:tab/>
        <w:tab/>
        <w:t xml:space="preserve">                          </w:t>
      </w:r>
      <w:r>
        <w:rPr>
          <w:rFonts w:eastAsia="Times New Roman" w:cs="Times New Roman" w:ascii="Tempora LGC Uni" w:hAnsi="Tempora LGC Uni"/>
          <w:b/>
          <w:color w:val="000000"/>
          <w:kern w:val="0"/>
          <w:sz w:val="28"/>
          <w:szCs w:val="28"/>
          <w:lang w:val="ru-RU" w:eastAsia="ru-RU" w:bidi="ar-SA"/>
        </w:rPr>
        <w:t>И.В. Головчак</w:t>
      </w:r>
    </w:p>
    <w:p>
      <w:pPr>
        <w:pStyle w:val="Normal"/>
        <w:tabs>
          <w:tab w:val="clear" w:pos="708"/>
          <w:tab w:val="left" w:pos="0" w:leader="none"/>
          <w:tab w:val="left" w:pos="8140" w:leader="none"/>
        </w:tabs>
        <w:jc w:val="right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      </w:t>
      </w:r>
      <w:bookmarkStart w:id="0" w:name="_GoBack"/>
      <w:bookmarkEnd w:id="0"/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Приложение</w:t>
      </w:r>
    </w:p>
    <w:p>
      <w:pPr>
        <w:pStyle w:val="Normal"/>
        <w:jc w:val="right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  </w:t>
      </w: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к постановлению администрации</w:t>
      </w:r>
    </w:p>
    <w:p>
      <w:pPr>
        <w:pStyle w:val="Normal"/>
        <w:jc w:val="right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Вилючинского городского округа</w:t>
      </w:r>
    </w:p>
    <w:p>
      <w:pPr>
        <w:pStyle w:val="Normal"/>
        <w:jc w:val="right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           </w:t>
      </w: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от __________ № ________</w:t>
      </w:r>
    </w:p>
    <w:p>
      <w:pPr>
        <w:pStyle w:val="Normal"/>
        <w:tabs>
          <w:tab w:val="clear" w:pos="708"/>
          <w:tab w:val="left" w:pos="0" w:leader="none"/>
          <w:tab w:val="left" w:pos="4220" w:leader="none"/>
          <w:tab w:val="center" w:pos="5017" w:leader="none"/>
        </w:tabs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Программа профилактики рисков 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причинения вреда (ущерба) охраняемым законом ценностям 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при осуществлении муниципального жилищного контроля на территории Вилючинского городского округа на 2025 год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b/>
          <w:color w:val="000000"/>
          <w:kern w:val="0"/>
          <w:sz w:val="28"/>
          <w:szCs w:val="28"/>
          <w:lang w:val="ru-RU" w:eastAsia="ru-RU" w:bidi="ar-SA"/>
        </w:rPr>
        <w:t>1. Общие положения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1.1.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Вилючинского городского округа (далее – Программа профилактики) разработана в соответствии со статьей со статьей 44 Федерального закона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Вилючинского городского округа от 06.09.2021 № 90/19-7 «Об утверждении Положения о муниципальном жилищном контроле на территории Вилючинского городского округа» и направлена на достижение целей и задач Программы профилактики.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1.2. Программа профилактики разработана на 2025 год.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1.3. Органом, уполномоченным на реализацию Программы профилактики, является Управление правового обеспечения и контроля администрации Вилючинского городского округа (далее – Управление ПО и контроля ВГО).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b/>
          <w:color w:val="000000"/>
          <w:kern w:val="0"/>
          <w:sz w:val="28"/>
          <w:szCs w:val="28"/>
          <w:lang w:val="ru-RU" w:eastAsia="ru-RU" w:bidi="ar-SA"/>
        </w:rPr>
        <w:t>2. Анализ текущего состояния осуществления муниципального жилищного контроля на территории Вилючинского городского округа,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2.1. 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требований: 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2) требований к формированию фондов капитального ремонта;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10) требований к обеспечению доступности для инвалидов помещений в многоквартирных домах;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11) требований к предоставлению жилых помещений в наемных домах социального использования.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2.2. Объектами муниципального жилищного контроля являются: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 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2.3. Под контролируемыми лицами при осуществлении муниципального контроля понимаются граждане и организации, указанные в статье 31 Федерального закона № 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контролю.</w:t>
      </w:r>
    </w:p>
    <w:p>
      <w:pPr>
        <w:pStyle w:val="Normal"/>
        <w:ind w:firstLine="708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2.4. На территории Вилючинского городского округа в управлении 8 управляющих организаций находятся 156 многоквартирных домов (далее – МКД), из них: в жилом районе «Приморский» - 100 МКД, в жилом районе «Рыбачий» - 56 МКД.</w:t>
      </w:r>
    </w:p>
    <w:p>
      <w:pPr>
        <w:pStyle w:val="Normal"/>
        <w:ind w:firstLine="708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При осуществлении муниципального жилищного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 Принимая во внимание действие в 2024 году Постановления Правительства РФ от 10.03.2022 № 336 «Об особенностях организации и осуществления государственного контроля (надзора), муниципального контроля» по обращениям граждан и юридических лиц за 9 месяцев 2024 года должностными лицами отдела муниципального контроля Управления ПО и контроля ВГО:</w:t>
      </w:r>
    </w:p>
    <w:p>
      <w:pPr>
        <w:pStyle w:val="Normal"/>
        <w:ind w:firstLine="708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– </w:t>
      </w: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объявлено 5 предостережений о недопустимости нарушения обязательных требований.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ind w:firstLine="709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При осуществлении контрольных функций проверялось исполнение обязательных требований, установленных федеральными законами и законами субъектов Российской Федерации в области жилищных отношений, а также муниципальными правовыми актами.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В ходе проведения мероприятий по соблюдению жилищного законодательства, а также при обращении граждан, индивидуальных предпринимателей, юридических лиц, должностными лицами отдела муниципального контроля администрации Вилючинского городского округа подробно разъясняется порядок решения жилищных споров в соответствии с действующим законодательством Российской Федерации. </w:t>
      </w:r>
    </w:p>
    <w:p>
      <w:pPr>
        <w:pStyle w:val="Normal"/>
        <w:shd w:val="clear" w:color="auto" w:fill="FFFFFF"/>
        <w:ind w:firstLine="709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Результаты проведенных контрольных мероприятий регулярно размещаются в ГИС ЖКХ, ФГИС «Единый реестр контрольных (надзорных) мероприятий», ГАС «Управление», а также направляются ежеквартально в  ГЖИ Камчатского края, прокуратуру ЗАТО г. Вилючинск.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rFonts w:ascii="Tempora LGC Uni" w:hAnsi="Tempora LGC Uni"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 xml:space="preserve">Информация о проведенных мероприятиях в сфере муниципального жилищного контроля размещается на официальном сайте органов местного самоуправления Вилючинского городского округа в информационно-телекоммуникационной сети Интернет </w:t>
      </w:r>
      <w:hyperlink r:id="rId2">
        <w:r>
          <w:rPr>
            <w:rFonts w:eastAsia="Times New Roman" w:cs="Times New Roman" w:ascii="Tempora LGC Uni" w:hAnsi="Tempora LGC Uni"/>
            <w:color w:val="000000"/>
            <w:kern w:val="0"/>
            <w:sz w:val="28"/>
            <w:szCs w:val="28"/>
            <w:u w:val="none"/>
            <w:lang w:val="ru-RU" w:eastAsia="ru-RU" w:bidi="ar-SA"/>
          </w:rPr>
          <w:t>www.viluchinsk-city.ru</w:t>
        </w:r>
      </w:hyperlink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, вкладка «Муниципальный контроль», «Муниципальный жилищный контроль».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b/>
          <w:color w:val="000000"/>
          <w:kern w:val="0"/>
          <w:sz w:val="28"/>
          <w:szCs w:val="28"/>
          <w:lang w:val="ru-RU" w:eastAsia="ru-RU" w:bidi="ar-SA"/>
        </w:rPr>
        <w:t>3. Цели и задачи реализации Программы профилактики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3.1. Целями Программы профилактики являются: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3.2. Задачами Программы профилактики являются: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empora LGC Uni" w:hAnsi="Tempora LGC Uni"/>
          <w:b/>
          <w:color w:val="000000"/>
          <w:kern w:val="0"/>
          <w:sz w:val="28"/>
          <w:szCs w:val="28"/>
          <w:lang w:val="ru-RU" w:eastAsia="ru-RU" w:bidi="ar-SA"/>
        </w:rPr>
        <w:t>4. Перечень профилактических мероприятий, сроки (периодичность) их проведения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9"/>
        <w:tblW w:w="98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4"/>
        <w:gridCol w:w="4659"/>
        <w:gridCol w:w="1875"/>
        <w:gridCol w:w="2661"/>
      </w:tblGrid>
      <w:tr>
        <w:trPr/>
        <w:tc>
          <w:tcPr>
            <w:tcW w:w="694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465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профилактического мероприятия</w:t>
            </w:r>
          </w:p>
        </w:tc>
        <w:tc>
          <w:tcPr>
            <w:tcW w:w="1875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Срок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реализации</w:t>
            </w:r>
          </w:p>
        </w:tc>
        <w:tc>
          <w:tcPr>
            <w:tcW w:w="266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Ответственные должностные лица</w:t>
            </w:r>
          </w:p>
        </w:tc>
      </w:tr>
      <w:tr>
        <w:trPr>
          <w:trHeight w:val="3062" w:hRule="atLeast"/>
        </w:trPr>
        <w:tc>
          <w:tcPr>
            <w:tcW w:w="694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46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empora LGC Uni" w:hAnsi="Tempora LGC Uni" w:eastAsia="Times New Roman" w:cs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ascii="Tempora LGC Uni" w:hAnsi="Tempora LGC Uni"/>
                <w:kern w:val="0"/>
                <w:sz w:val="22"/>
                <w:lang w:val="ru-RU" w:bidi="ar-SA"/>
              </w:rPr>
              <w:t xml:space="preserve"> </w:t>
            </w:r>
            <w:r>
              <w:rPr>
                <w:rFonts w:ascii="Tempora LGC Uni" w:hAnsi="Tempora LGC Uni"/>
                <w:kern w:val="0"/>
                <w:sz w:val="22"/>
                <w:lang w:val="ru-RU" w:bidi="ar-SA"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и поддержания в актуальном состоянии соответствующих сведений, установленных Федеральным законом № 248-ФЗ, на официальном сайте органов местного самоуправления Вилючинского городского округа в информационно-телекоммуникационной сети Интернет </w:t>
            </w:r>
            <w:hyperlink r:id="rId3">
              <w:r>
                <w:rPr>
                  <w:rFonts w:ascii="Tempora LGC Uni" w:hAnsi="Tempora LGC Uni"/>
                  <w:color w:val="auto"/>
                  <w:kern w:val="0"/>
                  <w:sz w:val="22"/>
                  <w:u w:val="none"/>
                  <w:lang w:val="ru-RU" w:bidi="ar-SA"/>
                </w:rPr>
                <w:t>www.viluchinsk-city.ru</w:t>
              </w:r>
            </w:hyperlink>
          </w:p>
        </w:tc>
        <w:tc>
          <w:tcPr>
            <w:tcW w:w="1875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(по мере необходимости)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sz w:val="24"/>
                <w:szCs w:val="24"/>
              </w:rPr>
            </w:r>
          </w:p>
        </w:tc>
        <w:tc>
          <w:tcPr>
            <w:tcW w:w="266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Заместитель начальника Управления, начальник отдела муниципального контроля Управления ПО и контроля ВГО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694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465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Консультирование по вопросам, связанным с организацией и осуществлением муниципального жилищного контроля на территории Вилючинского городского округа; порядком осуществления контрольных мероприятий; порядком обжалования действий (бездействия) должностных лиц контрольного органа;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875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sz w:val="24"/>
                <w:szCs w:val="24"/>
              </w:rPr>
            </w:r>
          </w:p>
        </w:tc>
        <w:tc>
          <w:tcPr>
            <w:tcW w:w="266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Должностные лица отдела муниципального контроля Управления ПО и контроля ВГО (главный специалист-эксперт отдела, ведущий консультант отдела, советник отдела, заместитель начальника управления-начальник отдела)</w:t>
            </w:r>
          </w:p>
        </w:tc>
      </w:tr>
      <w:tr>
        <w:trPr/>
        <w:tc>
          <w:tcPr>
            <w:tcW w:w="694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465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Объявление контролируемому лицу предостережения о недопустимости нарушения обязательных требований с предложением принять меры по обеспечению соблюдения обязательных требований  в случае наличия у Управления ПО и контроля ВГО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1875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sz w:val="24"/>
                <w:szCs w:val="24"/>
              </w:rPr>
            </w:r>
          </w:p>
        </w:tc>
        <w:tc>
          <w:tcPr>
            <w:tcW w:w="266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sz w:val="24"/>
                <w:szCs w:val="24"/>
              </w:rPr>
              <w:t>Должностные лица отдела муниципального контроля Управления ПО и контроля ВГО (главный специалист-эксперт отдела, ведущий консультант отдела, советник отдела, заместитель начальника управления-начальник отдела)</w:t>
            </w:r>
          </w:p>
        </w:tc>
      </w:tr>
      <w:tr>
        <w:trPr/>
        <w:tc>
          <w:tcPr>
            <w:tcW w:w="694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465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40" w:before="0" w:after="0"/>
              <w:jc w:val="left"/>
              <w:rPr>
                <w:rFonts w:ascii="Tempora LGC Uni" w:hAnsi="Tempora LGC Uni"/>
                <w:kern w:val="0"/>
                <w:lang w:val="ru-RU" w:bidi="ar-SA"/>
              </w:rPr>
            </w:pPr>
            <w:r>
              <w:rPr>
                <w:rFonts w:ascii="Tempora LGC Uni" w:hAnsi="Tempora LGC Uni"/>
                <w:kern w:val="0"/>
                <w:sz w:val="22"/>
                <w:lang w:val="ru-RU" w:bidi="ar-SA"/>
              </w:rPr>
              <w:t>Размещение доклада, содержащего результаты обобщения правоприменительной практики, на официальном сайте органов местного самоуправления Вилючинского городского округа в информационно-телекоммуникационной сети Интернет www.viluchinsk-city.ru</w:t>
            </w:r>
          </w:p>
        </w:tc>
        <w:tc>
          <w:tcPr>
            <w:tcW w:w="1875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в течение 5 дней с даты утверждения</w:t>
            </w:r>
          </w:p>
        </w:tc>
        <w:tc>
          <w:tcPr>
            <w:tcW w:w="266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4"/>
                <w:szCs w:val="24"/>
                <w:lang w:val="ru-RU" w:bidi="ar-SA"/>
              </w:rPr>
              <w:t>Заместитель начальника Управления, начальник отдела муниципального контроля Управления ПО и контроля ВГО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b w:val="false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Показатели результативности и эффективности реализации Программы профилактики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999"/>
        <w:gridCol w:w="1870"/>
      </w:tblGrid>
      <w:tr>
        <w:trPr>
          <w:trHeight w:val="1042" w:hRule="atLeast"/>
        </w:trPr>
        <w:tc>
          <w:tcPr>
            <w:tcW w:w="7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 w:eastAsia="Times New Roman" w:cs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/>
              <w:t>Наименование показателя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 w:eastAsia="Times New Roman" w:cs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/>
              <w:t>Исполнение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 w:eastAsia="Times New Roman" w:cs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/>
              <w:t>показателя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 w:eastAsia="Times New Roman" w:cs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/>
              <w:t>2025 год,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 w:eastAsia="Times New Roman" w:cs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/>
              <w:t>%</w:t>
            </w:r>
          </w:p>
        </w:tc>
      </w:tr>
      <w:tr>
        <w:trPr/>
        <w:tc>
          <w:tcPr>
            <w:tcW w:w="7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empora LGC Uni" w:hAnsi="Tempora LGC Uni" w:eastAsia="Times New Roman" w:cs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/>
              <w:t>Полнота информации, размещенной на официальном сайте органов местного самоуправления Вилючинского городского округа в соответствии со  статьей 46 Федерального закона № 248-ФЗ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 w:eastAsia="Times New Roman" w:cs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/>
              <w:t>100%</w:t>
            </w:r>
          </w:p>
        </w:tc>
      </w:tr>
      <w:tr>
        <w:trPr/>
        <w:tc>
          <w:tcPr>
            <w:tcW w:w="7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empora LGC Uni" w:hAnsi="Tempora LGC Uni" w:eastAsia="Times New Roman" w:cs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/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 w:eastAsia="Times New Roman" w:cs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/>
              <w:t>100%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>
        <w:rPr>
          <w:rFonts w:ascii="Tempora LGC Uni" w:hAnsi="Tempora LGC Uni"/>
          <w:sz w:val="28"/>
          <w:szCs w:val="28"/>
        </w:rPr>
        <w:t xml:space="preserve">Предложения по результатам рассмотрения направлять на адрес электронной почты: </w:t>
      </w:r>
      <w:hyperlink r:id="rId4">
        <w:r>
          <w:rPr>
            <w:rStyle w:val="-"/>
            <w:rFonts w:cs="Times New Roman"/>
            <w:sz w:val="28"/>
            <w:szCs w:val="28"/>
            <w:lang w:val="en-US"/>
          </w:rPr>
          <w:t>mynkontrolvgo</w:t>
        </w:r>
        <w:r>
          <w:rPr>
            <w:rStyle w:val="-"/>
            <w:rFonts w:cs="Times New Roman"/>
            <w:sz w:val="28"/>
            <w:szCs w:val="28"/>
          </w:rPr>
          <w:t>@</w:t>
        </w:r>
        <w:r>
          <w:rPr>
            <w:rStyle w:val="-"/>
            <w:rFonts w:cs="Times New Roman"/>
            <w:sz w:val="28"/>
            <w:szCs w:val="28"/>
            <w:lang w:val="en-US"/>
          </w:rPr>
          <w:t>viladm</w:t>
        </w:r>
        <w:r>
          <w:rPr>
            <w:rStyle w:val="-"/>
            <w:rFonts w:cs="Times New Roman"/>
            <w:sz w:val="28"/>
            <w:szCs w:val="28"/>
          </w:rPr>
          <w:t>.</w:t>
        </w:r>
        <w:r>
          <w:rPr>
            <w:rStyle w:val="-"/>
            <w:rFonts w:cs="Times New Roman"/>
            <w:sz w:val="28"/>
            <w:szCs w:val="28"/>
            <w:lang w:val="en-US"/>
          </w:rPr>
          <w:t>ru</w:t>
        </w:r>
      </w:hyperlink>
      <w:r>
        <w:rPr>
          <w:rFonts w:cs="Times New Roman"/>
          <w:sz w:val="28"/>
          <w:szCs w:val="28"/>
          <w:lang w:val="en-US"/>
        </w:rPr>
        <w:t xml:space="preserve"> </w:t>
      </w:r>
      <w:r>
        <w:rPr>
          <w:rFonts w:ascii="Tempora LGC Uni" w:hAnsi="Tempora LGC Uni"/>
          <w:sz w:val="28"/>
          <w:szCs w:val="28"/>
        </w:rPr>
        <w:t>до 01.11.2024.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10" w:right="567" w:gutter="0" w:header="709" w:top="96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 Sans">
    <w:charset w:val="cc"/>
    <w:family w:val="roman"/>
    <w:pitch w:val="variable"/>
  </w:font>
  <w:font w:name="Arial">
    <w:charset w:val="cc"/>
    <w:family w:val="roman"/>
    <w:pitch w:val="variable"/>
  </w:font>
  <w:font w:name="Tempora LGC Un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>
        <w:sz w:val="6"/>
        <w:szCs w:val="6"/>
      </w:rPr>
    </w:pPr>
    <w:r>
      <w:rPr>
        <w:sz w:val="6"/>
        <w:szCs w:val="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>
        <w:sz w:val="6"/>
        <w:szCs w:val="6"/>
      </w:rPr>
    </w:pPr>
    <w:r>
      <w:rPr>
        <w:sz w:val="6"/>
        <w:szCs w:val="6"/>
      </w:rPr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e3cf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rsid w:val="002b02d3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uiPriority w:val="9"/>
    <w:semiHidden/>
    <w:unhideWhenUsed/>
    <w:qFormat/>
    <w:rsid w:val="00de3cf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semiHidden/>
    <w:qFormat/>
    <w:rsid w:val="00de3cfa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de3cf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de3cfa"/>
    <w:rPr/>
  </w:style>
  <w:style w:type="character" w:styleId="Style8" w:customStyle="1">
    <w:name w:val="Текст выноски Знак"/>
    <w:basedOn w:val="DefaultParagraphFont"/>
    <w:uiPriority w:val="99"/>
    <w:semiHidden/>
    <w:qFormat/>
    <w:rsid w:val="00ab57f9"/>
    <w:rPr>
      <w:rFonts w:ascii="Tahoma" w:hAnsi="Tahoma" w:eastAsia="Times New Roman" w:cs="Tahoma"/>
      <w:sz w:val="16"/>
      <w:szCs w:val="16"/>
      <w:lang w:eastAsia="ru-RU"/>
    </w:rPr>
  </w:style>
  <w:style w:type="character" w:styleId="Style9" w:customStyle="1">
    <w:name w:val="Гипертекстовая ссылка"/>
    <w:basedOn w:val="DefaultParagraphFont"/>
    <w:uiPriority w:val="99"/>
    <w:qFormat/>
    <w:rsid w:val="002b02d3"/>
    <w:rPr>
      <w:color w:val="106BBE"/>
    </w:rPr>
  </w:style>
  <w:style w:type="character" w:styleId="11" w:customStyle="1">
    <w:name w:val="Заголовок 1 Знак"/>
    <w:basedOn w:val="DefaultParagraphFont"/>
    <w:uiPriority w:val="9"/>
    <w:qFormat/>
    <w:rsid w:val="002b02d3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-">
    <w:name w:val="Hyperlink"/>
    <w:basedOn w:val="DefaultParagraphFont"/>
    <w:uiPriority w:val="99"/>
    <w:unhideWhenUsed/>
    <w:rsid w:val="00643432"/>
    <w:rPr>
      <w:color w:val="0000FF" w:themeColor="hyperlink"/>
      <w:u w:val="singl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Lohit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5">
    <w:name w:val="Колонтитул"/>
    <w:basedOn w:val="Normal"/>
    <w:qFormat/>
    <w:pPr/>
    <w:rPr/>
  </w:style>
  <w:style w:type="paragraph" w:styleId="Style16">
    <w:name w:val="Header"/>
    <w:basedOn w:val="Normal"/>
    <w:uiPriority w:val="99"/>
    <w:rsid w:val="00de3cf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b1644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ab57f9"/>
    <w:pPr/>
    <w:rPr>
      <w:rFonts w:ascii="Tahoma" w:hAnsi="Tahoma" w:cs="Tahoma"/>
      <w:sz w:val="16"/>
      <w:szCs w:val="16"/>
    </w:rPr>
  </w:style>
  <w:style w:type="paragraph" w:styleId="Style17" w:customStyle="1">
    <w:name w:val="Прижатый влево"/>
    <w:basedOn w:val="Normal"/>
    <w:next w:val="Normal"/>
    <w:uiPriority w:val="99"/>
    <w:qFormat/>
    <w:rsid w:val="008d7178"/>
    <w:pPr>
      <w:widowControl w:val="false"/>
    </w:pPr>
    <w:rPr>
      <w:rFonts w:ascii="Arial" w:hAnsi="Arial" w:eastAsia="" w:cs="Arial" w:eastAsiaTheme="minorEastAsia"/>
    </w:rPr>
  </w:style>
  <w:style w:type="paragraph" w:styleId="Style18" w:customStyle="1">
    <w:name w:val="Нормальный (таблица)"/>
    <w:basedOn w:val="Normal"/>
    <w:next w:val="Normal"/>
    <w:uiPriority w:val="99"/>
    <w:qFormat/>
    <w:rsid w:val="008d7178"/>
    <w:pPr>
      <w:widowControl w:val="false"/>
      <w:jc w:val="both"/>
    </w:pPr>
    <w:rPr>
      <w:rFonts w:ascii="Arial" w:hAnsi="Arial" w:eastAsia="" w:cs="Arial" w:eastAsiaTheme="minorEastAsia"/>
    </w:rPr>
  </w:style>
  <w:style w:type="paragraph" w:styleId="ConsPlusTitle" w:customStyle="1">
    <w:name w:val="ConsPlusTitle"/>
    <w:uiPriority w:val="99"/>
    <w:qFormat/>
    <w:rsid w:val="00643432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bd538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nhideWhenUsed/>
    <w:qFormat/>
    <w:rsid w:val="000802b1"/>
    <w:pPr>
      <w:spacing w:beforeAutospacing="1" w:afterAutospacing="1"/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viluchinsk-city.ru/" TargetMode="External"/><Relationship Id="rId3" Type="http://schemas.openxmlformats.org/officeDocument/2006/relationships/hyperlink" Target="http://www.viluchinsk-city.ru/" TargetMode="External"/><Relationship Id="rId4" Type="http://schemas.openxmlformats.org/officeDocument/2006/relationships/hyperlink" Target="mailto:mynkontrolvgo@viladm.ru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AE785-D7E5-4755-A20B-B4D63EAB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Application>LibreOffice/7.5.0.3$Windows_X86_64 LibreOffice_project/c21113d003cd3efa8c53188764377a8272d9d6de</Application>
  <AppVersion>15.0000</AppVersion>
  <Pages>6</Pages>
  <Words>1484</Words>
  <Characters>11643</Characters>
  <CharactersWithSpaces>13299</CharactersWithSpaces>
  <Paragraphs>95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dc:description/>
  <dc:language>ru-RU</dc:language>
  <cp:lastModifiedBy/>
  <dcterms:modified xsi:type="dcterms:W3CDTF">2024-09-25T17:20:03Z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