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true"/>
        <w:ind w:left="-540" w:hanging="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>
        <w:rPr>
          <w:bCs/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overflowPunct w:val="true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overflowPunct w:val="true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overflowPunct w:val="true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overflowPunct w:val="true"/>
        <w:jc w:val="center"/>
        <w:rPr>
          <w:b/>
          <w:spacing w:val="200"/>
          <w:sz w:val="16"/>
          <w:szCs w:val="16"/>
        </w:rPr>
      </w:pPr>
      <w:r>
        <w:rPr>
          <w:b/>
          <w:spacing w:val="200"/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sz w:val="26"/>
        </w:rPr>
      </w:pPr>
      <w:r>
        <w:rPr/>
        <w:t>___________                                                                                                                                № _____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 Вилючинск</w:t>
      </w:r>
    </w:p>
    <w:p>
      <w:pPr>
        <w:pStyle w:val="Normal"/>
        <w:tabs>
          <w:tab w:val="clear" w:pos="708"/>
          <w:tab w:val="left" w:pos="4536" w:leader="none"/>
        </w:tabs>
        <w:ind w:right="524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3970" w:leader="none"/>
        </w:tabs>
        <w:suppressAutoHyphens w:val="true"/>
        <w:bidi w:val="0"/>
        <w:spacing w:lineRule="auto" w:line="240" w:before="0" w:after="0"/>
        <w:ind w:left="0" w:right="5783" w:hanging="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Вилючинского городского округа на 2025 год</w:t>
      </w:r>
    </w:p>
    <w:p>
      <w:pPr>
        <w:pStyle w:val="Normal"/>
        <w:widowControl w:val="false"/>
        <w:spacing w:lineRule="auto" w:line="240" w:before="0" w:after="0"/>
        <w:ind w:right="4315" w:hanging="0"/>
        <w:rPr>
          <w:rFonts w:ascii="Tempora LGC Uni" w:hAnsi="Tempora LGC Uni"/>
          <w:color w:val="000000"/>
          <w:sz w:val="28"/>
          <w:szCs w:val="28"/>
        </w:rPr>
      </w:pPr>
      <w:r>
        <w:rPr>
          <w:rFonts w:ascii="Tempora LGC Uni" w:hAnsi="Tempora LGC Uni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right="4315" w:hanging="0"/>
        <w:rPr>
          <w:rFonts w:ascii="Tempora LGC Uni" w:hAnsi="Tempora LGC Uni"/>
          <w:color w:val="000000"/>
          <w:sz w:val="28"/>
          <w:szCs w:val="28"/>
        </w:rPr>
      </w:pPr>
      <w:r>
        <w:rPr>
          <w:rFonts w:ascii="Tempora LGC Uni" w:hAnsi="Tempora LGC Uni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Вилючинского городского округа закрытого административно-территориального образования города Вилючинска Камчатского края,</w:t>
      </w:r>
    </w:p>
    <w:p>
      <w:pPr>
        <w:pStyle w:val="Normal"/>
        <w:spacing w:lineRule="auto" w:line="240" w:before="0" w:after="0"/>
        <w:jc w:val="both"/>
        <w:rPr>
          <w:rFonts w:ascii="Tempora LGC Uni" w:hAnsi="Tempora LGC Uni"/>
          <w:b/>
          <w:caps/>
          <w:sz w:val="28"/>
          <w:szCs w:val="28"/>
        </w:rPr>
      </w:pPr>
      <w:r>
        <w:rPr>
          <w:rFonts w:ascii="Tempora LGC Uni" w:hAnsi="Tempora LGC Uni"/>
          <w:b/>
          <w:cap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empora LGC Uni" w:hAnsi="Tempora LGC Uni"/>
        </w:rPr>
      </w:pPr>
      <w:r>
        <w:rPr>
          <w:rFonts w:ascii="Tempora LGC Uni" w:hAnsi="Tempora LGC Uni"/>
          <w:b/>
          <w:caps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right="-5" w:firstLine="708"/>
        <w:jc w:val="both"/>
        <w:rPr/>
      </w:pPr>
      <w:r>
        <w:rPr>
          <w:rFonts w:ascii="Tempora LGC Uni" w:hAnsi="Tempora LGC Uni"/>
          <w:sz w:val="28"/>
          <w:szCs w:val="28"/>
        </w:rPr>
        <w:t xml:space="preserve">1. Утвердить </w:t>
      </w:r>
      <w:hyperlink w:anchor="sub_22">
        <w:r>
          <w:rPr>
            <w:rFonts w:ascii="Tempora LGC Uni" w:hAnsi="Tempora LGC Uni"/>
            <w:color w:val="auto"/>
            <w:sz w:val="28"/>
            <w:szCs w:val="28"/>
          </w:rPr>
          <w:t>Программу</w:t>
        </w:r>
      </w:hyperlink>
      <w:r>
        <w:rPr>
          <w:rFonts w:ascii="Tempora LGC Uni" w:hAnsi="Tempora LGC Uni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Вилючинского городского округа на 2025 год согласно приложению к настоящему постановлению.</w:t>
      </w:r>
    </w:p>
    <w:p>
      <w:pPr>
        <w:pStyle w:val="Normal"/>
        <w:widowControl w:val="false"/>
        <w:spacing w:lineRule="auto" w:line="240" w:before="0" w:after="0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 Директору муниципального казенного учреждения «Ресурсно-информационный центр» Вилючинского городского округа О.Ю. Трофимовой  разместить настоящее постановление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 w:val="false"/>
        <w:spacing w:lineRule="auto" w:line="240" w:before="0" w:after="0"/>
        <w:ind w:right="-5" w:firstLine="708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bCs/>
          <w:color w:val="000000" w:themeColor="text1"/>
          <w:sz w:val="28"/>
          <w:szCs w:val="28"/>
        </w:rPr>
        <w:tab/>
      </w:r>
    </w:p>
    <w:p>
      <w:pPr>
        <w:pStyle w:val="Normal"/>
        <w:widowControl w:val="false"/>
        <w:spacing w:lineRule="auto" w:line="240"/>
        <w:ind w:left="0" w:right="-5" w:hanging="0"/>
        <w:jc w:val="both"/>
        <w:rPr>
          <w:rFonts w:ascii="Tempora LGC Uni" w:hAnsi="Tempora LGC Uni"/>
        </w:rPr>
      </w:pPr>
      <w:r>
        <w:rPr>
          <w:b/>
          <w:sz w:val="28"/>
          <w:szCs w:val="28"/>
        </w:rPr>
        <w:t>Глава Вилючинского</w:t>
      </w:r>
    </w:p>
    <w:p>
      <w:pPr>
        <w:sectPr>
          <w:type w:val="nextPage"/>
          <w:pgSz w:w="11906" w:h="16838"/>
          <w:pgMar w:left="1304" w:right="682" w:gutter="0" w:header="0" w:top="96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pacing w:lineRule="auto" w:line="240" w:before="0" w:after="0"/>
        <w:ind w:right="-5" w:hanging="0"/>
        <w:jc w:val="both"/>
        <w:rPr>
          <w:rFonts w:ascii="Tempora LGC Uni" w:hAnsi="Tempora LGC Uni"/>
        </w:rPr>
      </w:pPr>
      <w:r>
        <w:rPr>
          <w:b/>
          <w:sz w:val="28"/>
          <w:szCs w:val="28"/>
        </w:rPr>
        <w:t>городского округа</w:t>
        <w:tab/>
        <w:tab/>
        <w:tab/>
        <w:tab/>
        <w:tab/>
        <w:tab/>
        <w:t xml:space="preserve">                        </w:t>
      </w:r>
      <w:r>
        <w:rPr>
          <w:rFonts w:ascii="Tempora LGC Uni" w:hAnsi="Tempora LGC Uni"/>
          <w:b/>
          <w:sz w:val="28"/>
          <w:szCs w:val="28"/>
        </w:rPr>
        <w:t>И.В. Головчак</w:t>
      </w:r>
    </w:p>
    <w:p>
      <w:pPr>
        <w:pStyle w:val="Normal"/>
        <w:tabs>
          <w:tab w:val="clear" w:pos="708"/>
          <w:tab w:val="left" w:pos="0" w:leader="none"/>
          <w:tab w:val="left" w:pos="8140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empora LGC Uni" w:hAnsi="Tempora LGC Uni"/>
          <w:sz w:val="28"/>
          <w:szCs w:val="28"/>
        </w:rPr>
        <w:t xml:space="preserve">     </w:t>
      </w:r>
      <w:r>
        <w:rPr>
          <w:rFonts w:ascii="Tempora LGC Uni" w:hAnsi="Tempora LGC Uni"/>
          <w:sz w:val="28"/>
          <w:szCs w:val="28"/>
        </w:rPr>
        <w:t>Приложение</w:t>
      </w:r>
    </w:p>
    <w:p>
      <w:pPr>
        <w:pStyle w:val="Normal"/>
        <w:jc w:val="right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                                                                                     </w:t>
      </w:r>
      <w:r>
        <w:rPr>
          <w:rFonts w:ascii="Tempora LGC Uni" w:hAnsi="Tempora LGC Uni"/>
          <w:sz w:val="28"/>
          <w:szCs w:val="28"/>
        </w:rPr>
        <w:t xml:space="preserve">к постановлению администрации Вилючинского </w:t>
      </w:r>
    </w:p>
    <w:p>
      <w:pPr>
        <w:pStyle w:val="Normal"/>
        <w:jc w:val="right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городского округа</w:t>
      </w:r>
    </w:p>
    <w:p>
      <w:pPr>
        <w:pStyle w:val="Normal"/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                                                                                 </w:t>
      </w:r>
      <w:r>
        <w:rPr>
          <w:rFonts w:ascii="Tempora LGC Uni" w:hAnsi="Tempora LGC Uni"/>
          <w:sz w:val="28"/>
          <w:szCs w:val="28"/>
        </w:rPr>
        <w:t xml:space="preserve">от ___________ № </w:t>
      </w:r>
      <w:bookmarkStart w:id="0" w:name="_GoBack"/>
      <w:bookmarkEnd w:id="0"/>
      <w:r>
        <w:rPr>
          <w:rFonts w:ascii="Tempora LGC Uni" w:hAnsi="Tempora LGC Uni"/>
          <w:sz w:val="28"/>
          <w:szCs w:val="28"/>
        </w:rPr>
        <w:t>__________</w:t>
      </w:r>
    </w:p>
    <w:p>
      <w:pPr>
        <w:pStyle w:val="Normal"/>
        <w:tabs>
          <w:tab w:val="clear" w:pos="708"/>
          <w:tab w:val="left" w:pos="0" w:leader="none"/>
          <w:tab w:val="left" w:pos="4220" w:leader="none"/>
          <w:tab w:val="center" w:pos="5017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Программа профилактики рисков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причинения вреда (ущерба) охраняемым законом ценностям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при осуществлении муниципального земельного контроля на территории Вилючинского городского округа на 2025 год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/>
          <w:sz w:val="28"/>
          <w:szCs w:val="28"/>
        </w:rPr>
        <w:t>1. Общие положения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1.1. 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Вилючинского городского округа (далее – Программа профилактики) разработана в соответствии со статьей со статьей 44 Федерального закона от 31.07.2020 № 248-ФЗ «О государственном контроле (надзоре) и муниципальном контроле в Российской Федерации» (далее — Федеральный закон № 248-ФЗ),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Вилючинского городского округа от 06.09.2021 № 89/19-7                                     «Об утверждении Положения о муниципальном земельном контроле на территории Вилючинского городского округа» и направлена на достижение целей и задач Программы профилактики.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1.2. Программа профилактики разработана на 2025 год.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1.3. Органом, уполномоченным на реализацию Программы профилактики, является Управление правового обеспечения и контроля администрации Вилючинского городского округа (далее – Управление ПО и контроля ВГО).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/>
          <w:sz w:val="28"/>
          <w:szCs w:val="28"/>
        </w:rPr>
        <w:t>2. Анализ текущего состояния осуществления муниципального земельного контроля на территории Вилючинского городского округа,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2.1. 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                               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2.2. Объектами муниципального земельного контроля являются: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 земельного законодательства, в том числе предъявляемые к контролируемым лицам, осуществляющим деятельность, действия (бездействие);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2) здания, помещения, сооружения, линейные объекты, территории, включая земельные участки и другие объекты, которыми контролируемые лица владеют и (или) пользуются и к которым предъявляются обязательные требования земельного законодательства (далее – производственные объекты).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2.3. Под контролируемыми лицами при осуществлении муниципального контроля понимаются граждане и организации, указанные в статье                                 31 Федерального закона № 248-ФЗ, деятельность, действия или результаты деятельности которых либо производственные объекты, находящиеся                          во владении и (или) в пользовании которых, подлежат муниципальному контролю.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2.4. В рамках проведения муниципального земельного контроля                            в соответствии с Положением о муниципальном земельном контроле                               на территории Вилючинского городского округа, утвержденным решением Думы Вилючинского городского округа от 06.09.2021 № 89/19-7, за 9 месяцев 2024 года поступило одно обращение гражданина, в рамках рассмотрения которого </w:t>
      </w:r>
      <w:r>
        <w:rPr>
          <w:rFonts w:ascii="Tempora LGC Uni" w:hAnsi="Tempora LGC Uni"/>
          <w:color w:val="000000"/>
          <w:sz w:val="28"/>
          <w:szCs w:val="28"/>
        </w:rPr>
        <w:t>должностными лицами</w:t>
      </w:r>
      <w:r>
        <w:rPr>
          <w:rFonts w:ascii="Tempora LGC Uni" w:hAnsi="Tempora LGC Uni"/>
          <w:sz w:val="28"/>
          <w:szCs w:val="28"/>
        </w:rPr>
        <w:t xml:space="preserve"> отдела муниципального контроля Управления ПО и контроля ВГО</w:t>
      </w:r>
      <w:r>
        <w:rPr>
          <w:rFonts w:ascii="Tempora LGC Uni" w:hAnsi="Tempora LGC Uni"/>
          <w:color w:val="000000"/>
          <w:sz w:val="28"/>
          <w:szCs w:val="28"/>
        </w:rPr>
        <w:t xml:space="preserve"> подробно разъяснен порядок решения земельных споров, оформления земельных участков, использования земельных участков в указанных целях в соответствии с действующим законодательством Российской Федерации и муниципальными нормативными правовыми актами.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 xml:space="preserve">Информация о порядке осуществления муниципального земельного контроля, проведенных мероприятиях в сфере </w:t>
      </w:r>
      <w:r>
        <w:rPr>
          <w:rFonts w:ascii="Tempora LGC Uni" w:hAnsi="Tempora LGC Uni"/>
          <w:sz w:val="28"/>
          <w:szCs w:val="28"/>
        </w:rPr>
        <w:t xml:space="preserve">муниципального земельного контроля размещается на официальном сайте органов местного самоуправления Вилючинского городского округа в информационно-телекоммуникационной сети Интернет </w:t>
      </w:r>
      <w:hyperlink r:id="rId2">
        <w:r>
          <w:rPr>
            <w:rFonts w:ascii="Tempora LGC Uni" w:hAnsi="Tempora LGC Uni"/>
            <w:color w:val="auto"/>
            <w:sz w:val="28"/>
            <w:szCs w:val="28"/>
            <w:u w:val="none"/>
          </w:rPr>
          <w:t>www.viluchinsk-city.ru</w:t>
        </w:r>
      </w:hyperlink>
      <w:r>
        <w:rPr>
          <w:rFonts w:ascii="Tempora LGC Uni" w:hAnsi="Tempora LGC Uni"/>
          <w:sz w:val="28"/>
          <w:szCs w:val="28"/>
        </w:rPr>
        <w:t>, вкладка «Муниципальный контроль», «муниципальный земельный контроль».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/>
          <w:sz w:val="28"/>
          <w:szCs w:val="28"/>
        </w:rPr>
        <w:t>3. Цели и задачи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3.1. Целями Программы профилактики являются: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2) устранение условий, причин и факторов, способных привести                                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3) создание условий для доведения обязательных требований                                  до контролируемых лиц, повышение информированности о способах                                   их соблюдения.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3.2. Задачами Программы профилактики являются: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                                  на устранение нарушений обязательных требований в отношении объектов земельных отношений;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 в сфере земельных отношений;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tbl>
      <w:tblPr>
        <w:tblStyle w:val="a9"/>
        <w:tblW w:w="99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0"/>
        <w:gridCol w:w="4610"/>
        <w:gridCol w:w="2014"/>
        <w:gridCol w:w="2695"/>
      </w:tblGrid>
      <w:tr>
        <w:trPr/>
        <w:tc>
          <w:tcPr>
            <w:tcW w:w="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№</w:t>
            </w:r>
          </w:p>
        </w:tc>
        <w:tc>
          <w:tcPr>
            <w:tcW w:w="4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Наименование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профилактического мероприятия</w:t>
            </w:r>
          </w:p>
        </w:tc>
        <w:tc>
          <w:tcPr>
            <w:tcW w:w="201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Срок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реализации</w:t>
            </w:r>
          </w:p>
        </w:tc>
        <w:tc>
          <w:tcPr>
            <w:tcW w:w="269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Ответственные должностные лица</w:t>
            </w:r>
          </w:p>
        </w:tc>
      </w:tr>
      <w:tr>
        <w:trPr>
          <w:trHeight w:val="3062" w:hRule="atLeast"/>
        </w:trPr>
        <w:tc>
          <w:tcPr>
            <w:tcW w:w="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1.</w:t>
            </w:r>
          </w:p>
        </w:tc>
        <w:tc>
          <w:tcPr>
            <w:tcW w:w="4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 xml:space="preserve"> </w:t>
            </w: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Вилючинского городского округа в информационно-телекоммуникационной сети Интернет </w:t>
            </w:r>
            <w:hyperlink r:id="rId3">
              <w:r>
                <w:rPr>
                  <w:rFonts w:ascii="Tempora LGC Uni" w:hAnsi="Tempora LGC Uni"/>
                  <w:color w:val="auto"/>
                  <w:kern w:val="0"/>
                  <w:sz w:val="26"/>
                  <w:szCs w:val="26"/>
                  <w:u w:val="none"/>
                  <w:lang w:val="ru-RU" w:bidi="ar-SA"/>
                </w:rPr>
                <w:t>www.viluchinsk-city.ru</w:t>
              </w:r>
            </w:hyperlink>
          </w:p>
        </w:tc>
        <w:tc>
          <w:tcPr>
            <w:tcW w:w="201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(по мере необходимости)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69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</w:tr>
      <w:tr>
        <w:trPr/>
        <w:tc>
          <w:tcPr>
            <w:tcW w:w="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2.</w:t>
            </w:r>
          </w:p>
        </w:tc>
        <w:tc>
          <w:tcPr>
            <w:tcW w:w="4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Консультирование по вопросам, связанным с организацией и осуществлением муниципального земельного контроля на территории Вилючинского городского округа 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01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69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Должностные лица отдела муниципального контроля Управления ПО и контроля ВГО (главный специалист-эксперт отдела, ведущий консультант отдела, советник отдела, начальник отдела)</w:t>
            </w:r>
          </w:p>
        </w:tc>
      </w:tr>
      <w:tr>
        <w:trPr/>
        <w:tc>
          <w:tcPr>
            <w:tcW w:w="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3.</w:t>
            </w:r>
          </w:p>
        </w:tc>
        <w:tc>
          <w:tcPr>
            <w:tcW w:w="4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в случае наличия у Управления ПО и контроля ВГО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1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69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Должностные лица отдела муниципального контроля Управления ПО и контроля ВГО (главный специалист-эксперт отдела, ведущий консультант отдела, советник отдела, заместитель начальника управления-начальник отдела)</w:t>
            </w:r>
          </w:p>
        </w:tc>
      </w:tr>
      <w:tr>
        <w:trPr/>
        <w:tc>
          <w:tcPr>
            <w:tcW w:w="61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4.</w:t>
            </w:r>
          </w:p>
        </w:tc>
        <w:tc>
          <w:tcPr>
            <w:tcW w:w="46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/>
              <w:jc w:val="left"/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>Размещение доклада, содержащего результаты обобщения правоприменительной практики, на официальном сайте органов местного самоуправления Вилючинского городского округа в информационно-телекоммуникационной сети Интернет www.viluchinsk-city.ru</w:t>
            </w:r>
          </w:p>
        </w:tc>
        <w:tc>
          <w:tcPr>
            <w:tcW w:w="201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5  дней с даты утверждения</w:t>
            </w:r>
          </w:p>
        </w:tc>
        <w:tc>
          <w:tcPr>
            <w:tcW w:w="269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sz w:val="26"/>
          <w:szCs w:val="26"/>
        </w:rPr>
      </w:pPr>
      <w:r>
        <w:rPr>
          <w:rFonts w:ascii="Tempora LGC Uni" w:hAnsi="Tempora LGC Uni"/>
          <w:b/>
          <w:sz w:val="26"/>
          <w:szCs w:val="26"/>
        </w:rPr>
        <w:t>5. Показатели результативности и эффективности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</w:r>
    </w:p>
    <w:tbl>
      <w:tblPr>
        <w:tblW w:w="10125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998"/>
        <w:gridCol w:w="2126"/>
      </w:tblGrid>
      <w:tr>
        <w:trPr>
          <w:trHeight w:val="1042" w:hRule="atLeast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8D1D75"/>
              <w:left w:val="single" w:sz="4" w:space="0" w:color="8D1D75"/>
              <w:right w:val="single" w:sz="4" w:space="0" w:color="8D1D75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Исполнение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показателя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2025 год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(%)</w:t>
            </w:r>
          </w:p>
        </w:tc>
      </w:tr>
      <w:tr>
        <w:trPr/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Полнота информации, размещенной на официальном сайте органов местного самоуправления Вилючинского городского округа в соответствии со статьей 46 Федерального закона № 248-ФЗ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100 %</w:t>
            </w:r>
          </w:p>
        </w:tc>
      </w:tr>
      <w:tr>
        <w:trPr/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100 %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6"/>
          <w:szCs w:val="26"/>
        </w:rPr>
      </w:pPr>
      <w:r>
        <w:rPr>
          <w:rFonts w:ascii="Tempora LGC Uni" w:hAnsi="Tempora LGC Uni"/>
          <w:sz w:val="28"/>
          <w:szCs w:val="28"/>
        </w:rPr>
        <w:t xml:space="preserve">Предложения по результатам рассмотрения направлять на адрес электронной почты: </w:t>
      </w:r>
      <w:hyperlink r:id="rId4">
        <w:r>
          <w:rPr>
            <w:rFonts w:cs="Times New Roman"/>
            <w:color w:val="0000FF"/>
            <w:sz w:val="28"/>
            <w:szCs w:val="28"/>
            <w:u w:val="single"/>
            <w:lang w:val="en-US"/>
          </w:rPr>
          <w:t>mynkontrolvgo</w:t>
        </w:r>
        <w:r>
          <w:rPr>
            <w:rFonts w:cs="Times New Roman"/>
            <w:color w:val="0000FF"/>
            <w:sz w:val="28"/>
            <w:szCs w:val="28"/>
            <w:u w:val="single"/>
          </w:rPr>
          <w:t>@</w:t>
        </w:r>
        <w:r>
          <w:rPr>
            <w:rFonts w:cs="Times New Roman"/>
            <w:color w:val="0000FF"/>
            <w:sz w:val="28"/>
            <w:szCs w:val="28"/>
            <w:u w:val="single"/>
            <w:lang w:val="en-US"/>
          </w:rPr>
          <w:t>viladm</w:t>
        </w:r>
        <w:r>
          <w:rPr>
            <w:rFonts w:cs="Times New Roman"/>
            <w:color w:val="0000FF"/>
            <w:sz w:val="28"/>
            <w:szCs w:val="28"/>
            <w:u w:val="single"/>
          </w:rPr>
          <w:t>.</w:t>
        </w:r>
        <w:r>
          <w:rPr>
            <w:rFonts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>
        <w:rPr>
          <w:rFonts w:cs="Times New Roman"/>
          <w:sz w:val="28"/>
          <w:szCs w:val="28"/>
          <w:lang w:val="en-US"/>
        </w:rPr>
        <w:t xml:space="preserve"> </w:t>
      </w:r>
      <w:r>
        <w:rPr>
          <w:rFonts w:ascii="Tempora LGC Uni" w:hAnsi="Tempora LGC Uni"/>
          <w:sz w:val="28"/>
          <w:szCs w:val="28"/>
        </w:rPr>
        <w:t>до 01.11.2024.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0" w:right="566" w:gutter="0" w:header="709" w:top="9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 Sans">
    <w:charset w:val="cc"/>
    <w:family w:val="roman"/>
    <w:pitch w:val="variable"/>
  </w:font>
  <w:font w:name="Arial">
    <w:charset w:val="cc"/>
    <w:family w:val="roman"/>
    <w:pitch w:val="variable"/>
  </w:font>
  <w:font w:name="Tempora LGC Un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5pt;height:1.2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3cf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2b02d3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de3cf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de3cf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e3cf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de3cfa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ab57f9"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Гипертекстовая ссылка"/>
    <w:basedOn w:val="DefaultParagraphFont"/>
    <w:uiPriority w:val="99"/>
    <w:qFormat/>
    <w:rsid w:val="002b02d3"/>
    <w:rPr>
      <w:color w:val="106BBE"/>
    </w:rPr>
  </w:style>
  <w:style w:type="character" w:styleId="11" w:customStyle="1">
    <w:name w:val="Заголовок 1 Знак"/>
    <w:basedOn w:val="DefaultParagraphFont"/>
    <w:uiPriority w:val="9"/>
    <w:qFormat/>
    <w:rsid w:val="002b02d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-">
    <w:name w:val="Hyperlink"/>
    <w:basedOn w:val="DefaultParagraphFont"/>
    <w:uiPriority w:val="99"/>
    <w:unhideWhenUsed/>
    <w:rsid w:val="00643432"/>
    <w:rPr>
      <w:color w:val="0000FF" w:themeColor="hyperlink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ohit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Normal"/>
    <w:uiPriority w:val="99"/>
    <w:rsid w:val="00de3c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b1644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ab57f9"/>
    <w:pPr/>
    <w:rPr>
      <w:rFonts w:ascii="Tahoma" w:hAnsi="Tahoma" w:cs="Tahoma"/>
      <w:sz w:val="16"/>
      <w:szCs w:val="16"/>
    </w:rPr>
  </w:style>
  <w:style w:type="paragraph" w:styleId="Style17" w:customStyle="1">
    <w:name w:val="Прижатый влево"/>
    <w:basedOn w:val="Normal"/>
    <w:next w:val="Normal"/>
    <w:uiPriority w:val="99"/>
    <w:qFormat/>
    <w:rsid w:val="008d7178"/>
    <w:pPr>
      <w:widowControl w:val="false"/>
    </w:pPr>
    <w:rPr>
      <w:rFonts w:ascii="Arial" w:hAnsi="Arial" w:eastAsia="" w:cs="Arial" w:eastAsiaTheme="minorEastAsia"/>
    </w:rPr>
  </w:style>
  <w:style w:type="paragraph" w:styleId="Style18" w:customStyle="1">
    <w:name w:val="Нормальный (таблица)"/>
    <w:basedOn w:val="Normal"/>
    <w:next w:val="Normal"/>
    <w:uiPriority w:val="99"/>
    <w:qFormat/>
    <w:rsid w:val="008d7178"/>
    <w:pPr>
      <w:widowControl w:val="false"/>
      <w:jc w:val="both"/>
    </w:pPr>
    <w:rPr>
      <w:rFonts w:ascii="Arial" w:hAnsi="Arial" w:eastAsia="" w:cs="Arial" w:eastAsiaTheme="minorEastAsia"/>
    </w:rPr>
  </w:style>
  <w:style w:type="paragraph" w:styleId="ConsPlusTitle" w:customStyle="1">
    <w:name w:val="ConsPlusTitle"/>
    <w:uiPriority w:val="99"/>
    <w:qFormat/>
    <w:rsid w:val="0064343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bd538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nhideWhenUsed/>
    <w:qFormat/>
    <w:rsid w:val="000802b1"/>
    <w:pPr>
      <w:spacing w:beforeAutospacing="1" w:afterAutospacing="1"/>
    </w:pPr>
    <w:rPr/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iluchinsk-city.ru/" TargetMode="External"/><Relationship Id="rId3" Type="http://schemas.openxmlformats.org/officeDocument/2006/relationships/hyperlink" Target="http://www.viluchinsk-city.ru/" TargetMode="External"/><Relationship Id="rId4" Type="http://schemas.openxmlformats.org/officeDocument/2006/relationships/hyperlink" Target="mailto:mynkontrolvgo@viladm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61127-2961-4071-AFB0-D37C9E9A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Application>LibreOffice/7.5.0.3$Windows_X86_64 LibreOffice_project/c21113d003cd3efa8c53188764377a8272d9d6de</Application>
  <AppVersion>15.0000</AppVersion>
  <Pages>5</Pages>
  <Words>1084</Words>
  <Characters>8674</Characters>
  <CharactersWithSpaces>10442</CharactersWithSpaces>
  <Paragraphs>78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:description/>
  <dc:language>ru-RU</dc:language>
  <cp:lastModifiedBy/>
  <dcterms:modified xsi:type="dcterms:W3CDTF">2024-09-25T18:00:39Z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