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overflowPunct w:val="false"/>
        <w:ind w:left="-540" w:hanging="0"/>
        <w:jc w:val="center"/>
        <w:rPr>
          <w:rFonts w:ascii="Tempora LGC Uni" w:hAnsi="Tempora LGC Uni"/>
        </w:rPr>
      </w:pPr>
      <w:r>
        <w:rPr>
          <w:rFonts w:ascii="Tempora LGC Uni" w:hAnsi="Tempora LGC Uni"/>
          <w:bCs/>
          <w:smallCaps/>
          <w:sz w:val="28"/>
          <w:szCs w:val="28"/>
        </w:rPr>
        <w:t xml:space="preserve">        </w:t>
      </w:r>
      <w:r>
        <w:rPr>
          <w:rFonts w:ascii="Tempora LGC Uni" w:hAnsi="Tempora LGC Uni"/>
          <w:bCs/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overflowPunct w:val="false"/>
        <w:jc w:val="center"/>
        <w:rPr>
          <w:rFonts w:ascii="Tempora LGC Uni" w:hAnsi="Tempora LGC Uni"/>
        </w:rPr>
      </w:pPr>
      <w:r>
        <w:rPr>
          <w:rFonts w:ascii="Tempora LGC Uni" w:hAnsi="Tempora LGC Uni"/>
          <w:bCs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>
      <w:pPr>
        <w:pStyle w:val="Normal"/>
        <w:overflowPunct w:val="false"/>
        <w:jc w:val="center"/>
        <w:rPr>
          <w:rFonts w:ascii="Tempora LGC Uni" w:hAnsi="Tempora LGC Uni"/>
        </w:rPr>
      </w:pPr>
      <w:r>
        <w:rPr>
          <w:rFonts w:ascii="Tempora LGC Uni" w:hAnsi="Tempora LGC Uni"/>
          <w:bCs/>
          <w:smallCaps/>
          <w:sz w:val="28"/>
          <w:szCs w:val="28"/>
        </w:rPr>
        <w:t>города Вилючинска Камчатского края</w:t>
      </w:r>
    </w:p>
    <w:p>
      <w:pPr>
        <w:pStyle w:val="Normal"/>
        <w:overflowPunct w:val="false"/>
        <w:jc w:val="center"/>
        <w:rPr>
          <w:rFonts w:ascii="Tempora LGC Uni" w:hAnsi="Tempora LGC Uni"/>
          <w:sz w:val="20"/>
        </w:rPr>
      </w:pPr>
      <w:r>
        <w:rPr>
          <w:rFonts w:ascii="Tempora LGC Uni" w:hAnsi="Tempora LGC Uni"/>
          <w:sz w:val="20"/>
        </w:rPr>
      </w:r>
    </w:p>
    <w:p>
      <w:pPr>
        <w:pStyle w:val="Normal"/>
        <w:overflowPunct w:val="false"/>
        <w:jc w:val="center"/>
        <w:rPr>
          <w:rFonts w:ascii="Tempora LGC Uni" w:hAnsi="Tempora LGC Uni"/>
          <w:b/>
          <w:spacing w:val="200"/>
          <w:sz w:val="16"/>
          <w:szCs w:val="16"/>
        </w:rPr>
      </w:pPr>
      <w:r>
        <w:rPr>
          <w:rFonts w:ascii="Tempora LGC Uni" w:hAnsi="Tempora LGC Uni"/>
          <w:b/>
          <w:spacing w:val="200"/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1"/>
        <w:rPr>
          <w:rFonts w:ascii="Tempora LGC Uni" w:hAnsi="Tempora LGC Uni"/>
        </w:rPr>
      </w:pPr>
      <w:r>
        <w:rPr>
          <w:rFonts w:ascii="Tempora LGC Uni" w:hAnsi="Tempora LGC Uni"/>
          <w:b/>
          <w:sz w:val="44"/>
          <w:szCs w:val="44"/>
        </w:rPr>
        <w:t>П О С Т А Н О В Л Е Н И Е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sz w:val="26"/>
        </w:rPr>
      </w:pPr>
      <w:r>
        <w:rPr/>
        <w:t>______________                                                                                                                   № ______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г. Вилючинск</w:t>
      </w:r>
    </w:p>
    <w:p>
      <w:pPr>
        <w:pStyle w:val="Normal"/>
        <w:widowControl w:val="false"/>
        <w:tabs>
          <w:tab w:val="clear" w:pos="708"/>
          <w:tab w:val="left" w:pos="3970" w:leader="none"/>
        </w:tabs>
        <w:suppressAutoHyphens w:val="true"/>
        <w:bidi w:val="0"/>
        <w:spacing w:lineRule="auto" w:line="240" w:before="0" w:after="0"/>
        <w:ind w:left="0" w:right="5783" w:hanging="0"/>
        <w:jc w:val="both"/>
        <w:rPr>
          <w:rFonts w:ascii="Tempora LGC Uni" w:hAnsi="Tempora LGC Uni"/>
        </w:rPr>
      </w:pPr>
      <w:r>
        <w:rPr>
          <w:rFonts w:ascii="Tempora LGC Uni" w:hAnsi="Tempora LGC Uni"/>
          <w:color w:val="00000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 контроля в сфере благоустройства на территории Вилючинского городского округа на 202</w:t>
      </w:r>
      <w:r>
        <w:rPr>
          <w:rFonts w:ascii="Tempora LGC Uni" w:hAnsi="Tempora LGC Uni"/>
          <w:color w:val="000000"/>
          <w:sz w:val="28"/>
          <w:szCs w:val="28"/>
        </w:rPr>
        <w:t>5</w:t>
      </w:r>
      <w:r>
        <w:rPr>
          <w:rFonts w:ascii="Tempora LGC Uni" w:hAnsi="Tempora LGC Uni"/>
          <w:color w:val="000000"/>
          <w:sz w:val="28"/>
          <w:szCs w:val="28"/>
        </w:rPr>
        <w:t xml:space="preserve"> год</w:t>
      </w:r>
    </w:p>
    <w:p>
      <w:pPr>
        <w:pStyle w:val="Normal"/>
        <w:widowControl w:val="false"/>
        <w:ind w:right="4315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right="4315" w:hanging="0"/>
        <w:rPr>
          <w:rFonts w:ascii="Tempora LGC Uni" w:hAnsi="Tempora LGC Uni"/>
          <w:color w:val="000000"/>
          <w:sz w:val="28"/>
          <w:szCs w:val="28"/>
        </w:rPr>
      </w:pPr>
      <w:r>
        <w:rPr>
          <w:rFonts w:ascii="Tempora LGC Uni" w:hAnsi="Tempora LGC Uni"/>
          <w:color w:val="000000"/>
          <w:sz w:val="28"/>
          <w:szCs w:val="28"/>
        </w:rPr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В соответствии со статьей 44 Федерального закона от 31.07.2020</w:t>
        <w:br/>
        <w:t>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Вилючинского городского округа,</w:t>
      </w:r>
    </w:p>
    <w:p>
      <w:pPr>
        <w:pStyle w:val="Normal"/>
        <w:spacing w:before="100" w:after="100"/>
        <w:jc w:val="both"/>
        <w:rPr>
          <w:rFonts w:ascii="Tempora LGC Uni" w:hAnsi="Tempora LGC Uni"/>
          <w:b/>
          <w:caps/>
          <w:sz w:val="28"/>
          <w:szCs w:val="28"/>
        </w:rPr>
      </w:pPr>
      <w:r>
        <w:rPr>
          <w:rFonts w:ascii="Tempora LGC Uni" w:hAnsi="Tempora LGC Uni"/>
          <w:b/>
          <w:caps/>
          <w:sz w:val="28"/>
          <w:szCs w:val="28"/>
        </w:rPr>
      </w:r>
    </w:p>
    <w:p>
      <w:pPr>
        <w:pStyle w:val="Normal"/>
        <w:spacing w:before="100" w:after="100"/>
        <w:jc w:val="both"/>
        <w:rPr>
          <w:rFonts w:ascii="Tempora LGC Uni" w:hAnsi="Tempora LGC Uni"/>
        </w:rPr>
      </w:pPr>
      <w:r>
        <w:rPr>
          <w:rFonts w:ascii="Tempora LGC Uni" w:hAnsi="Tempora LGC Uni"/>
          <w:b/>
          <w:caps/>
          <w:sz w:val="28"/>
          <w:szCs w:val="28"/>
        </w:rPr>
        <w:t>Постановляю:</w:t>
      </w:r>
    </w:p>
    <w:p>
      <w:pPr>
        <w:pStyle w:val="Normal"/>
        <w:widowControl w:val="false"/>
        <w:ind w:right="-5" w:firstLine="708"/>
        <w:jc w:val="both"/>
        <w:rPr/>
      </w:pPr>
      <w:r>
        <w:rPr>
          <w:rFonts w:ascii="Tempora LGC Uni" w:hAnsi="Tempora LGC Uni"/>
          <w:sz w:val="28"/>
          <w:szCs w:val="28"/>
        </w:rPr>
        <w:t xml:space="preserve">1. Утвердить </w:t>
      </w:r>
      <w:hyperlink w:anchor="sub_22">
        <w:r>
          <w:rPr>
            <w:rFonts w:ascii="Tempora LGC Uni" w:hAnsi="Tempora LGC Uni"/>
            <w:color w:val="auto"/>
            <w:sz w:val="28"/>
            <w:szCs w:val="28"/>
          </w:rPr>
          <w:t>Программу</w:t>
        </w:r>
      </w:hyperlink>
      <w:r>
        <w:rPr>
          <w:rFonts w:ascii="Tempora LGC Uni" w:hAnsi="Tempora LGC Uni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Вилючинского городского округа на 2024 год согласно приложению к настоящему постановлению.</w:t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2. Директору муниципального казенного учреждения «Ресурсно-информационный центр» Вилючинского городского округа О.Ю. Трофимовой  настоящее постановление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widowControl w:val="false"/>
        <w:ind w:right="-5"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bCs/>
          <w:color w:val="000000" w:themeColor="text1"/>
          <w:sz w:val="28"/>
          <w:szCs w:val="28"/>
        </w:rPr>
        <w:tab/>
      </w:r>
    </w:p>
    <w:p>
      <w:pPr>
        <w:pStyle w:val="Normal"/>
        <w:widowControl w:val="false"/>
        <w:ind w:right="-5" w:hanging="0"/>
        <w:jc w:val="both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Гл</w:t>
      </w:r>
      <w:r>
        <w:rPr>
          <w:rFonts w:ascii="Tempora LGC Uni" w:hAnsi="Tempora LGC Uni"/>
          <w:b/>
          <w:sz w:val="28"/>
          <w:szCs w:val="28"/>
        </w:rPr>
        <w:t>ав</w:t>
      </w:r>
      <w:r>
        <w:rPr>
          <w:rFonts w:ascii="Tempora LGC Uni" w:hAnsi="Tempora LGC Uni"/>
          <w:b/>
          <w:sz w:val="28"/>
          <w:szCs w:val="28"/>
        </w:rPr>
        <w:t>а</w:t>
      </w:r>
      <w:r>
        <w:rPr>
          <w:rFonts w:ascii="Tempora LGC Uni" w:hAnsi="Tempora LGC Uni"/>
          <w:b/>
          <w:sz w:val="28"/>
          <w:szCs w:val="28"/>
        </w:rPr>
        <w:t xml:space="preserve"> Вилючинского</w:t>
      </w:r>
    </w:p>
    <w:p>
      <w:pPr>
        <w:sectPr>
          <w:type w:val="nextPage"/>
          <w:pgSz w:w="11906" w:h="16838"/>
          <w:pgMar w:left="1712" w:right="567" w:gutter="0" w:header="0" w:top="96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ind w:right="-5" w:hanging="0"/>
        <w:jc w:val="both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городского округа</w:t>
        <w:tab/>
        <w:tab/>
        <w:tab/>
        <w:tab/>
        <w:tab/>
        <w:tab/>
        <w:t xml:space="preserve">                    </w:t>
      </w:r>
      <w:r>
        <w:rPr>
          <w:rFonts w:ascii="Tempora LGC Uni" w:hAnsi="Tempora LGC Uni"/>
          <w:b/>
          <w:sz w:val="28"/>
          <w:szCs w:val="28"/>
        </w:rPr>
        <w:t>И.В. Головчак</w:t>
      </w:r>
    </w:p>
    <w:p>
      <w:pPr>
        <w:pStyle w:val="Normal"/>
        <w:tabs>
          <w:tab w:val="clear" w:pos="708"/>
          <w:tab w:val="left" w:pos="0" w:leader="none"/>
          <w:tab w:val="left" w:pos="8140" w:leader="none"/>
        </w:tabs>
        <w:jc w:val="right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                                    </w:t>
      </w:r>
      <w:bookmarkStart w:id="0" w:name="_GoBack"/>
      <w:bookmarkEnd w:id="0"/>
      <w:r>
        <w:rPr>
          <w:rFonts w:ascii="Tempora LGC Uni" w:hAnsi="Tempora LGC Uni"/>
          <w:sz w:val="28"/>
          <w:szCs w:val="28"/>
        </w:rPr>
        <w:t>Приложение</w:t>
      </w:r>
    </w:p>
    <w:p>
      <w:pPr>
        <w:pStyle w:val="Normal"/>
        <w:jc w:val="right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      </w:t>
      </w:r>
      <w:r>
        <w:rPr>
          <w:rFonts w:ascii="Tempora LGC Uni" w:hAnsi="Tempora LGC Uni"/>
          <w:sz w:val="28"/>
          <w:szCs w:val="28"/>
        </w:rPr>
        <w:t>к постановлению администрации</w:t>
      </w:r>
    </w:p>
    <w:p>
      <w:pPr>
        <w:pStyle w:val="Normal"/>
        <w:jc w:val="right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Вилючинского городского округа</w:t>
      </w:r>
    </w:p>
    <w:p>
      <w:pPr>
        <w:pStyle w:val="Normal"/>
        <w:jc w:val="right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       </w:t>
      </w:r>
      <w:r>
        <w:rPr>
          <w:rFonts w:ascii="Tempora LGC Uni" w:hAnsi="Tempora LGC Uni"/>
          <w:sz w:val="28"/>
          <w:szCs w:val="28"/>
        </w:rPr>
        <w:t>от _____________ № _________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Программа профилактики рисков 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причинения вреда (ущерба) охраняемым законом ценностям 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при осуществлении муниципального контроля в сфере благоустройства на территории Вилючинского городского округа на 202</w:t>
      </w:r>
      <w:r>
        <w:rPr>
          <w:rFonts w:ascii="Tempora LGC Uni" w:hAnsi="Tempora LGC Uni"/>
          <w:sz w:val="28"/>
          <w:szCs w:val="28"/>
        </w:rPr>
        <w:t>5</w:t>
      </w:r>
      <w:r>
        <w:rPr>
          <w:rFonts w:ascii="Tempora LGC Uni" w:hAnsi="Tempora LGC Uni"/>
          <w:sz w:val="28"/>
          <w:szCs w:val="28"/>
        </w:rPr>
        <w:t xml:space="preserve"> год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1. Общие положения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1.1.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Вилючинского городского округа (далее – Программа профилактики)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Вилючинского городского округа от 06.09.2021 № 87/19-7 «Об утверждении Положения о муниципальном контроле в сфере благоустройства на территории Вилючинского городского округа» и направлена на достижение целей и задач Программы профилактики.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1.2. Программа профилактики разработана на 202</w:t>
      </w:r>
      <w:r>
        <w:rPr>
          <w:rFonts w:ascii="Tempora LGC Uni" w:hAnsi="Tempora LGC Uni"/>
          <w:sz w:val="28"/>
          <w:szCs w:val="28"/>
        </w:rPr>
        <w:t>5</w:t>
      </w:r>
      <w:r>
        <w:rPr>
          <w:rFonts w:ascii="Tempora LGC Uni" w:hAnsi="Tempora LGC Uni"/>
          <w:sz w:val="28"/>
          <w:szCs w:val="28"/>
        </w:rPr>
        <w:t xml:space="preserve"> год.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1.3. Органом, уполномоченным на реализацию Программы профилактики, является Управление правового обеспечения и контроля администрации Вилючинского городского округа (далее – Управление ПО и контроля ВГО).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2. Анализ текущего состояния осуществления муниципального контроля в сфере благоустройства на территории Вилючинского городского округа,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2.1. Предметом муниципального контроля в сфере благоустройства на территории Вилючинского городского округа (далее – муниципальный контроль) является соблюдение органами государственной власти, органами местного самоуправления, юридическими лицами, индивидуальными предпринимателями и гражданами (далее - контролируемые лица) требований, установленных Правилами благоустройства территории Вилючинского городского округа, утвержденными решением Думы Вилючинского городского округа (далее - требования Правил благоустройства территории ВГО), а также организация и проведение мероприятий по профилактике нарушений указанных требований.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2.2. Объектами муниципального контроля являются: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 (далее - производственные объекты).</w:t>
      </w:r>
    </w:p>
    <w:p>
      <w:pPr>
        <w:pStyle w:val="Normal"/>
        <w:spacing w:before="0" w:after="0"/>
        <w:ind w:firstLine="567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2.3. Под контролируемыми лицами при осуществлении муниципального контроля понимаются граждане и организации, указанные в статье 31 Федерального закона № 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контролю.</w:t>
      </w:r>
    </w:p>
    <w:p>
      <w:pPr>
        <w:pStyle w:val="Normal"/>
        <w:ind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2.4. Осуществление мероприятий по контролю в сфере соблюдения Правил благоустройства территории Вилючинского городского округа, утвержденных Решением Думы Вилючинского городского округа от 18.10.2017 № 173/58-6, проводилось в виде выездных обследований территории Вилючинского городского округа, связанных с выявлением нарушений Правил благоустройства территории Вилючинского городского округа, принятием мер по устранению выявленных нарушений, их предупреждению, составлением протоколов осмотра, протоколов инструментального обследования и объявлении предостережений. </w:t>
      </w:r>
    </w:p>
    <w:p>
      <w:pPr>
        <w:pStyle w:val="Normal"/>
        <w:ind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 Принимая во внимание действие в 202</w:t>
      </w:r>
      <w:r>
        <w:rPr>
          <w:rFonts w:ascii="Tempora LGC Uni" w:hAnsi="Tempora LGC Uni"/>
          <w:sz w:val="28"/>
          <w:szCs w:val="28"/>
        </w:rPr>
        <w:t>4</w:t>
      </w:r>
      <w:r>
        <w:rPr>
          <w:rFonts w:ascii="Tempora LGC Uni" w:hAnsi="Tempora LGC Uni"/>
          <w:sz w:val="28"/>
          <w:szCs w:val="28"/>
        </w:rPr>
        <w:t xml:space="preserve"> году Постановления Правительства РФ от 10.03.2022 № 336 «Об особенностях организации и осуществления государственного контроля (надзора), муниципального контроля» за 9 месяцев 202</w:t>
      </w:r>
      <w:r>
        <w:rPr>
          <w:rFonts w:ascii="Tempora LGC Uni" w:hAnsi="Tempora LGC Uni"/>
          <w:sz w:val="28"/>
          <w:szCs w:val="28"/>
        </w:rPr>
        <w:t>4</w:t>
      </w:r>
      <w:r>
        <w:rPr>
          <w:rFonts w:ascii="Tempora LGC Uni" w:hAnsi="Tempora LGC Uni"/>
          <w:sz w:val="28"/>
          <w:szCs w:val="28"/>
        </w:rPr>
        <w:t xml:space="preserve"> года </w:t>
      </w:r>
      <w:r>
        <w:rPr>
          <w:rFonts w:ascii="Tempora LGC Uni" w:hAnsi="Tempora LGC Uni"/>
          <w:color w:val="000000"/>
          <w:sz w:val="28"/>
          <w:szCs w:val="28"/>
        </w:rPr>
        <w:t>должностными лицами</w:t>
      </w:r>
      <w:r>
        <w:rPr>
          <w:rFonts w:ascii="Tempora LGC Uni" w:hAnsi="Tempora LGC Uni"/>
          <w:sz w:val="28"/>
          <w:szCs w:val="28"/>
        </w:rPr>
        <w:t xml:space="preserve"> отдела муниципального контроля Управления ПО и контроля ВГО</w:t>
      </w:r>
      <w:r>
        <w:rPr>
          <w:rFonts w:ascii="Tempora LGC Uni" w:hAnsi="Tempora LGC Uni"/>
          <w:color w:val="000000"/>
          <w:sz w:val="28"/>
          <w:szCs w:val="28"/>
        </w:rPr>
        <w:t xml:space="preserve"> </w:t>
      </w:r>
      <w:r>
        <w:rPr>
          <w:rFonts w:ascii="Tempora LGC Uni" w:hAnsi="Tempora LGC Uni"/>
          <w:sz w:val="28"/>
          <w:szCs w:val="28"/>
        </w:rPr>
        <w:t xml:space="preserve">проведено </w:t>
      </w:r>
      <w:r>
        <w:rPr>
          <w:rFonts w:ascii="Tempora LGC Uni" w:hAnsi="Tempora LGC Uni"/>
          <w:color w:val="000000"/>
          <w:sz w:val="28"/>
          <w:szCs w:val="28"/>
        </w:rPr>
        <w:t>95</w:t>
      </w:r>
      <w:r>
        <w:rPr>
          <w:rFonts w:ascii="Tempora LGC Uni" w:hAnsi="Tempora LGC Uni"/>
          <w:sz w:val="28"/>
          <w:szCs w:val="28"/>
        </w:rPr>
        <w:t xml:space="preserve"> внеплановых выездных обследований территории Вилючинского городского округа, связанных с выявлением нарушений Правил благоустройства территорий ВГО, составлено </w:t>
      </w:r>
      <w:r>
        <w:rPr>
          <w:rFonts w:ascii="Tempora LGC Uni" w:hAnsi="Tempora LGC Uni"/>
          <w:color w:val="000000"/>
          <w:sz w:val="28"/>
          <w:szCs w:val="28"/>
        </w:rPr>
        <w:t>95</w:t>
      </w:r>
      <w:r>
        <w:rPr>
          <w:rFonts w:ascii="Tempora LGC Uni" w:hAnsi="Tempora LGC Uni"/>
          <w:sz w:val="28"/>
          <w:szCs w:val="28"/>
        </w:rPr>
        <w:t xml:space="preserve"> протоколов осмотра, вынесено </w:t>
      </w:r>
      <w:r>
        <w:rPr>
          <w:rFonts w:ascii="Tempora LGC Uni" w:hAnsi="Tempora LGC Uni"/>
          <w:color w:val="C9211E"/>
          <w:sz w:val="28"/>
          <w:szCs w:val="28"/>
        </w:rPr>
        <w:t xml:space="preserve"> </w:t>
      </w:r>
      <w:r>
        <w:rPr>
          <w:rFonts w:ascii="Tempora LGC Uni" w:hAnsi="Tempora LGC Uni"/>
          <w:color w:val="000000"/>
          <w:sz w:val="28"/>
          <w:szCs w:val="28"/>
        </w:rPr>
        <w:t>1</w:t>
      </w:r>
      <w:r>
        <w:rPr>
          <w:rFonts w:ascii="Tempora LGC Uni" w:hAnsi="Tempora LGC Uni"/>
          <w:color w:val="000000"/>
          <w:sz w:val="28"/>
          <w:szCs w:val="28"/>
        </w:rPr>
        <w:t>23</w:t>
      </w:r>
      <w:r>
        <w:rPr>
          <w:rFonts w:ascii="Tempora LGC Uni" w:hAnsi="Tempora LGC Uni"/>
          <w:sz w:val="28"/>
          <w:szCs w:val="28"/>
        </w:rPr>
        <w:t xml:space="preserve"> предостережени</w:t>
      </w:r>
      <w:r>
        <w:rPr>
          <w:rFonts w:ascii="Tempora LGC Uni" w:hAnsi="Tempora LGC Uni"/>
          <w:sz w:val="28"/>
          <w:szCs w:val="28"/>
        </w:rPr>
        <w:t>я</w:t>
      </w:r>
      <w:r>
        <w:rPr>
          <w:rFonts w:ascii="Tempora LGC Uni" w:hAnsi="Tempora LGC Uni"/>
        </w:rPr>
        <w:t xml:space="preserve"> </w:t>
      </w:r>
      <w:r>
        <w:rPr>
          <w:rFonts w:ascii="Tempora LGC Uni" w:hAnsi="Tempora LGC Uni"/>
          <w:sz w:val="28"/>
          <w:szCs w:val="28"/>
        </w:rPr>
        <w:t xml:space="preserve">о недопустимости нарушения обязательных требований законодательства, выдано </w:t>
      </w:r>
      <w:r>
        <w:rPr>
          <w:rFonts w:ascii="Tempora LGC Uni" w:hAnsi="Tempora LGC Uni"/>
          <w:sz w:val="28"/>
          <w:szCs w:val="28"/>
        </w:rPr>
        <w:t>4</w:t>
      </w:r>
      <w:r>
        <w:rPr>
          <w:rFonts w:ascii="Tempora LGC Uni" w:hAnsi="Tempora LGC Uni"/>
          <w:sz w:val="28"/>
          <w:szCs w:val="28"/>
        </w:rPr>
        <w:t xml:space="preserve"> предписания </w:t>
      </w:r>
      <w:r>
        <w:rPr>
          <w:rFonts w:ascii="Tempora LGC Uni" w:hAnsi="Tempora LGC Uni"/>
          <w:color w:val="000000"/>
          <w:sz w:val="28"/>
          <w:szCs w:val="28"/>
        </w:rPr>
        <w:t>об устранении выявленных нарушений в сфере благоустройства на территории Вилючинского городского округа.</w:t>
      </w:r>
    </w:p>
    <w:p>
      <w:pPr>
        <w:pStyle w:val="Normal"/>
        <w:ind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При осуществлении контрольных функций проверялось исполнение обязательных требований, установленных федеральными законами и законами субъектов Российской Федерации, а также муниципальными правовыми актами в области соблюдения требований Правил благоустройства территорий ВГО.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>
          <w:rFonts w:ascii="Tempora LGC Uni" w:hAnsi="Tempora LGC Uni"/>
        </w:rPr>
      </w:pPr>
      <w:r>
        <w:rPr>
          <w:rFonts w:ascii="Tempora LGC Uni" w:hAnsi="Tempora LGC Uni"/>
          <w:color w:val="000000"/>
          <w:sz w:val="28"/>
          <w:szCs w:val="28"/>
        </w:rPr>
        <w:t xml:space="preserve">В ходе проведения мероприятий по соблюдению </w:t>
      </w:r>
      <w:r>
        <w:rPr>
          <w:rFonts w:ascii="Tempora LGC Uni" w:hAnsi="Tempora LGC Uni"/>
          <w:sz w:val="28"/>
          <w:szCs w:val="28"/>
        </w:rPr>
        <w:t>требований Правил благоустройства территорий ВГО</w:t>
      </w:r>
      <w:r>
        <w:rPr>
          <w:rFonts w:ascii="Tempora LGC Uni" w:hAnsi="Tempora LGC Uni"/>
          <w:color w:val="000000"/>
          <w:sz w:val="28"/>
          <w:szCs w:val="28"/>
        </w:rPr>
        <w:t>, а также при обращении граждан, индивидуальных предпринимателей, юридических лиц, должностными лицами</w:t>
      </w:r>
      <w:r>
        <w:rPr>
          <w:rFonts w:ascii="Tempora LGC Uni" w:hAnsi="Tempora LGC Uni"/>
          <w:sz w:val="28"/>
          <w:szCs w:val="28"/>
        </w:rPr>
        <w:t xml:space="preserve"> отдела муниципального контроля Управления ПО и контроля ВГО</w:t>
      </w:r>
      <w:r>
        <w:rPr>
          <w:rFonts w:ascii="Tempora LGC Uni" w:hAnsi="Tempora LGC Uni"/>
          <w:color w:val="000000"/>
          <w:sz w:val="28"/>
          <w:szCs w:val="28"/>
        </w:rPr>
        <w:t xml:space="preserve"> подробно разъясняются установленные в </w:t>
      </w:r>
      <w:r>
        <w:rPr>
          <w:rFonts w:ascii="Tempora LGC Uni" w:hAnsi="Tempora LGC Uni"/>
          <w:sz w:val="28"/>
          <w:szCs w:val="28"/>
        </w:rPr>
        <w:t>Правилах благоустройства территорий ВГО</w:t>
      </w:r>
      <w:r>
        <w:rPr>
          <w:rFonts w:ascii="Tempora LGC Uni" w:hAnsi="Tempora LGC Uni"/>
          <w:color w:val="000000"/>
          <w:sz w:val="28"/>
          <w:szCs w:val="28"/>
        </w:rPr>
        <w:t xml:space="preserve"> нормы и правила. </w:t>
      </w:r>
    </w:p>
    <w:p>
      <w:pPr>
        <w:pStyle w:val="NormalWeb"/>
        <w:shd w:val="clear" w:color="auto" w:fill="FFFFFF"/>
        <w:spacing w:beforeAutospacing="0" w:before="0" w:afterAutospacing="0" w:after="0"/>
        <w:ind w:firstLine="708"/>
        <w:jc w:val="both"/>
        <w:rPr/>
      </w:pPr>
      <w:r>
        <w:rPr>
          <w:rFonts w:ascii="Tempora LGC Uni" w:hAnsi="Tempora LGC Uni"/>
          <w:color w:val="000000"/>
          <w:sz w:val="28"/>
          <w:szCs w:val="28"/>
        </w:rPr>
        <w:t xml:space="preserve">Информация о проведенных мероприятиях по соблюдению </w:t>
      </w:r>
      <w:r>
        <w:rPr>
          <w:rFonts w:ascii="Tempora LGC Uni" w:hAnsi="Tempora LGC Uni"/>
          <w:sz w:val="28"/>
          <w:szCs w:val="28"/>
        </w:rPr>
        <w:t xml:space="preserve">требований Правил благоустройства территорий ВГО размещается на официальном сайте органов местного самоуправления Вилючинского городского округа в информационно-телекоммуникационной сети Интернет </w:t>
      </w:r>
      <w:hyperlink r:id="rId2">
        <w:r>
          <w:rPr>
            <w:rFonts w:ascii="Tempora LGC Uni" w:hAnsi="Tempora LGC Uni"/>
            <w:color w:val="auto"/>
            <w:sz w:val="28"/>
            <w:szCs w:val="28"/>
            <w:u w:val="none"/>
          </w:rPr>
          <w:t>www.viluchinsk-city.ru</w:t>
        </w:r>
      </w:hyperlink>
      <w:r>
        <w:rPr>
          <w:rFonts w:ascii="Tempora LGC Uni" w:hAnsi="Tempora LGC Uni"/>
          <w:color w:val="auto"/>
          <w:sz w:val="28"/>
          <w:szCs w:val="28"/>
          <w:u w:val="none"/>
        </w:rPr>
        <w:t>,</w:t>
      </w:r>
      <w:r>
        <w:rPr>
          <w:rFonts w:ascii="Tempora LGC Uni" w:hAnsi="Tempora LGC Uni"/>
          <w:sz w:val="28"/>
          <w:szCs w:val="28"/>
        </w:rPr>
        <w:t xml:space="preserve"> вкладка «Муниципальный контроль», «Муниципальный контроль в сфере благоустройства территории».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3. Цели и задачи реализации Программы профилактики</w:t>
      </w:r>
    </w:p>
    <w:p>
      <w:pPr>
        <w:pStyle w:val="Normal"/>
        <w:tabs>
          <w:tab w:val="clear" w:pos="708"/>
          <w:tab w:val="left" w:pos="0" w:leader="none"/>
        </w:tabs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3.1. Целями Программы профилактики являются: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3.2. Задачами Программы профилактики являются: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2) повышение правосознания и правовой культуры юридических лиц, индивидуальных предпринимателей и граждан;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tbl>
      <w:tblPr>
        <w:tblStyle w:val="a9"/>
        <w:tblW w:w="97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0"/>
        <w:gridCol w:w="4589"/>
        <w:gridCol w:w="2019"/>
        <w:gridCol w:w="2491"/>
      </w:tblGrid>
      <w:tr>
        <w:trPr/>
        <w:tc>
          <w:tcPr>
            <w:tcW w:w="62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№</w:t>
            </w:r>
          </w:p>
        </w:tc>
        <w:tc>
          <w:tcPr>
            <w:tcW w:w="458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Наименование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профилактического мероприятия</w:t>
            </w:r>
          </w:p>
        </w:tc>
        <w:tc>
          <w:tcPr>
            <w:tcW w:w="201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Срок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реализации</w:t>
            </w:r>
          </w:p>
        </w:tc>
        <w:tc>
          <w:tcPr>
            <w:tcW w:w="249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Ответственные должностные лица</w:t>
            </w:r>
          </w:p>
        </w:tc>
      </w:tr>
      <w:tr>
        <w:trPr>
          <w:trHeight w:val="3062" w:hRule="atLeast"/>
        </w:trPr>
        <w:tc>
          <w:tcPr>
            <w:tcW w:w="62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1.</w:t>
            </w:r>
          </w:p>
        </w:tc>
        <w:tc>
          <w:tcPr>
            <w:tcW w:w="45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и поддержания в актуальном состоянии соответствующих сведений, установленных Федеральным законом № 248-ФЗ, на официальном сайте органов местного самоуправления Вилючинского городского округа в информационно-телекоммуникационной сети Интернет </w:t>
            </w:r>
            <w:hyperlink r:id="rId3">
              <w:r>
                <w:rPr>
                  <w:rFonts w:ascii="Tempora LGC Uni" w:hAnsi="Tempora LGC Uni"/>
                  <w:color w:val="auto"/>
                  <w:kern w:val="0"/>
                  <w:sz w:val="26"/>
                  <w:szCs w:val="26"/>
                  <w:u w:val="none"/>
                  <w:lang w:val="ru-RU" w:bidi="ar-SA"/>
                </w:rPr>
                <w:t>www.viluchinsk-city.ru</w:t>
              </w:r>
            </w:hyperlink>
          </w:p>
        </w:tc>
        <w:tc>
          <w:tcPr>
            <w:tcW w:w="201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(по мере необходимости)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  <w:tc>
          <w:tcPr>
            <w:tcW w:w="249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Заместитель начальника Управления, начальник отдела муниципального контроля Управления ПО и контроля ВГО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</w:tr>
      <w:tr>
        <w:trPr/>
        <w:tc>
          <w:tcPr>
            <w:tcW w:w="62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2.</w:t>
            </w:r>
          </w:p>
        </w:tc>
        <w:tc>
          <w:tcPr>
            <w:tcW w:w="458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Консультирование по вопросам, связанным с организацией и осуществлением муниципального контроля в сфере благоустройства на территории Вилючинского городского округа; порядком осуществления контрольных мероприятий; порядком обжалования действий (бездействия) должностных лиц контрольного органа;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01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  <w:tc>
          <w:tcPr>
            <w:tcW w:w="249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Должностные лица отдела муниципального контроля Управления ПО и контроля ВГО (главный специалист-эксперт отдела, ведущий консультант отдела, советник отдела, заместитель начальника управления-начальник отдела)</w:t>
            </w:r>
          </w:p>
        </w:tc>
      </w:tr>
      <w:tr>
        <w:trPr/>
        <w:tc>
          <w:tcPr>
            <w:tcW w:w="62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3.</w:t>
            </w:r>
          </w:p>
        </w:tc>
        <w:tc>
          <w:tcPr>
            <w:tcW w:w="458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 xml:space="preserve"> </w:t>
            </w: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Объявление контролируемому лицу предостережения о недопустимости нарушения обязательных требований с предложением принять меры по обеспечению соблюдения обязательных требований  в случае наличия у Управления ПО и контроля ВГО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01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года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  <w:tc>
          <w:tcPr>
            <w:tcW w:w="249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Должностные лица отдела муниципального контроля Управления ПО и контроля ВГО (главный специалист-эксперт отдела, ведущий консультант отдела, советник отдела, заместитель начальника управления-начальник отдела)</w:t>
            </w:r>
          </w:p>
        </w:tc>
      </w:tr>
      <w:tr>
        <w:trPr/>
        <w:tc>
          <w:tcPr>
            <w:tcW w:w="620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4.</w:t>
            </w:r>
          </w:p>
        </w:tc>
        <w:tc>
          <w:tcPr>
            <w:tcW w:w="45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before="0" w:after="0"/>
              <w:jc w:val="left"/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Tempora LGC Uni" w:hAnsi="Tempora LGC Uni"/>
                <w:kern w:val="0"/>
                <w:sz w:val="26"/>
                <w:szCs w:val="26"/>
                <w:lang w:val="ru-RU" w:bidi="ar-SA"/>
              </w:rPr>
              <w:t>Размещение доклада, содержащего результаты обобщения правоприменительной практики, на официальном сайте органов местного самоуправления Вилючинского городского округа в информационно-телекоммуникационной сети Интернет www.viluchinsk-city.ru</w:t>
            </w:r>
          </w:p>
        </w:tc>
        <w:tc>
          <w:tcPr>
            <w:tcW w:w="2019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в течение 5 дней с даты утверждения</w:t>
            </w:r>
          </w:p>
        </w:tc>
        <w:tc>
          <w:tcPr>
            <w:tcW w:w="2491" w:type="dxa"/>
            <w:tcBorders/>
          </w:tcPr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kern w:val="0"/>
                <w:sz w:val="26"/>
                <w:szCs w:val="26"/>
                <w:lang w:val="ru-RU" w:bidi="ar-SA"/>
              </w:rPr>
              <w:t>Заместитель начальника Управления, начальник отдела муниципального контроля Управления ПО и контроля ВГО</w:t>
            </w:r>
          </w:p>
          <w:p>
            <w:pPr>
              <w:pStyle w:val="ConsPlusTitl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1"/>
              <w:rPr>
                <w:rFonts w:ascii="Tempora LGC Uni" w:hAnsi="Tempora LGC Uni" w:cs="Times New Roman"/>
                <w:b w:val="false"/>
                <w:sz w:val="26"/>
                <w:szCs w:val="26"/>
              </w:rPr>
            </w:pPr>
            <w:r>
              <w:rPr>
                <w:rFonts w:cs="Times New Roman" w:ascii="Tempora LGC Uni" w:hAnsi="Tempora LGC Uni"/>
                <w:b w:val="false"/>
                <w:sz w:val="26"/>
                <w:szCs w:val="26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</w:rPr>
      </w:pPr>
      <w:r>
        <w:rPr>
          <w:rFonts w:ascii="Tempora LGC Uni" w:hAnsi="Tempora LGC Uni"/>
          <w:b/>
          <w:sz w:val="28"/>
          <w:szCs w:val="28"/>
        </w:rPr>
        <w:t>5. Показатели результативности и эффективности реализации Программы профилактики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tbl>
      <w:tblPr>
        <w:tblW w:w="969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879"/>
        <w:gridCol w:w="1810"/>
      </w:tblGrid>
      <w:tr>
        <w:trPr>
          <w:trHeight w:val="1042" w:hRule="atLeast"/>
        </w:trPr>
        <w:tc>
          <w:tcPr>
            <w:tcW w:w="7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Исполнение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показателя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202</w:t>
            </w:r>
            <w:r>
              <w:rPr>
                <w:rFonts w:ascii="Tempora LGC Uni" w:hAnsi="Tempora LGC Uni"/>
                <w:sz w:val="26"/>
                <w:szCs w:val="26"/>
              </w:rPr>
              <w:t>5</w:t>
            </w:r>
            <w:r>
              <w:rPr>
                <w:rFonts w:ascii="Tempora LGC Uni" w:hAnsi="Tempora LGC Uni"/>
                <w:sz w:val="26"/>
                <w:szCs w:val="26"/>
              </w:rPr>
              <w:t xml:space="preserve"> год,</w:t>
            </w:r>
          </w:p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%</w:t>
            </w:r>
          </w:p>
        </w:tc>
      </w:tr>
      <w:tr>
        <w:trPr/>
        <w:tc>
          <w:tcPr>
            <w:tcW w:w="7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Полнота информации, размещенной на официальном сайте органов местного самоуправления Вилючинского городского округа в соответствии со статьей 46 Федерального закона № 248-ФЗ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100%</w:t>
            </w:r>
          </w:p>
        </w:tc>
      </w:tr>
      <w:tr>
        <w:trPr/>
        <w:tc>
          <w:tcPr>
            <w:tcW w:w="7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100%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ab/>
        <w:t xml:space="preserve">Предложения по результатам рассмотрения направлять на адрес электронной почты: </w:t>
      </w:r>
      <w:hyperlink r:id="rId4">
        <w:r>
          <w:rPr>
            <w:rFonts w:cs="Times New Roman"/>
            <w:color w:val="0000FF"/>
            <w:sz w:val="28"/>
            <w:szCs w:val="28"/>
            <w:u w:val="single"/>
            <w:lang w:val="en-US"/>
          </w:rPr>
          <w:t>mynkontrolvgo</w:t>
        </w:r>
        <w:r>
          <w:rPr>
            <w:rFonts w:cs="Times New Roman"/>
            <w:color w:val="0000FF"/>
            <w:sz w:val="28"/>
            <w:szCs w:val="28"/>
            <w:u w:val="single"/>
          </w:rPr>
          <w:t>@</w:t>
        </w:r>
        <w:r>
          <w:rPr>
            <w:rFonts w:cs="Times New Roman"/>
            <w:color w:val="0000FF"/>
            <w:sz w:val="28"/>
            <w:szCs w:val="28"/>
            <w:u w:val="single"/>
            <w:lang w:val="en-US"/>
          </w:rPr>
          <w:t>viladm</w:t>
        </w:r>
        <w:r>
          <w:rPr>
            <w:rFonts w:cs="Times New Roman"/>
            <w:color w:val="0000FF"/>
            <w:sz w:val="28"/>
            <w:szCs w:val="28"/>
            <w:u w:val="single"/>
          </w:rPr>
          <w:t>.</w:t>
        </w:r>
        <w:r>
          <w:rPr>
            <w:rFonts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>
        <w:rPr>
          <w:rFonts w:cs="Times New Roman"/>
          <w:sz w:val="28"/>
          <w:szCs w:val="28"/>
          <w:lang w:val="en-US"/>
        </w:rPr>
        <w:t xml:space="preserve"> </w:t>
      </w:r>
      <w:r>
        <w:rPr>
          <w:rFonts w:ascii="Tempora LGC Uni" w:hAnsi="Tempora LGC Uni"/>
          <w:sz w:val="28"/>
          <w:szCs w:val="28"/>
        </w:rPr>
        <w:t>до 0</w:t>
      </w:r>
      <w:r>
        <w:rPr>
          <w:rFonts w:ascii="Tempora LGC Uni" w:hAnsi="Tempora LGC Uni"/>
          <w:sz w:val="28"/>
          <w:szCs w:val="28"/>
        </w:rPr>
        <w:t>1</w:t>
      </w:r>
      <w:r>
        <w:rPr>
          <w:rFonts w:ascii="Tempora LGC Uni" w:hAnsi="Tempora LGC Uni"/>
          <w:sz w:val="28"/>
          <w:szCs w:val="28"/>
        </w:rPr>
        <w:t>.11.202</w:t>
      </w:r>
      <w:r>
        <w:rPr>
          <w:rFonts w:ascii="Tempora LGC Uni" w:hAnsi="Tempora LGC Uni"/>
          <w:sz w:val="28"/>
          <w:szCs w:val="28"/>
        </w:rPr>
        <w:t>4</w:t>
      </w:r>
      <w:r>
        <w:rPr>
          <w:rFonts w:ascii="Tempora LGC Uni" w:hAnsi="Tempora LGC Uni"/>
          <w:sz w:val="28"/>
          <w:szCs w:val="28"/>
        </w:rPr>
        <w:t>.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690" w:right="567" w:gutter="0" w:header="709" w:top="96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 Sans">
    <w:charset w:val="cc"/>
    <w:family w:val="roman"/>
    <w:pitch w:val="variable"/>
  </w:font>
  <w:font w:name="Arial">
    <w:charset w:val="cc"/>
    <w:family w:val="roman"/>
    <w:pitch w:val="variable"/>
  </w:font>
  <w:font w:name="Tempora LGC Un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6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>
        <w:sz w:val="6"/>
        <w:szCs w:val="6"/>
      </w:rPr>
    </w:pPr>
    <w:r>
      <w:rPr>
        <w:sz w:val="6"/>
        <w:szCs w:val="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ind w:right="360" w:hanging="0"/>
      <w:rPr>
        <w:sz w:val="6"/>
        <w:szCs w:val="6"/>
      </w:rPr>
    </w:pPr>
    <w:r>
      <w:rPr>
        <w:sz w:val="6"/>
        <w:szCs w:val="6"/>
      </w:rPr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e3cf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rsid w:val="002b02d3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uiPriority w:val="9"/>
    <w:semiHidden/>
    <w:unhideWhenUsed/>
    <w:qFormat/>
    <w:rsid w:val="00de3cf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semiHidden/>
    <w:qFormat/>
    <w:rsid w:val="00de3cfa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de3cf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de3cfa"/>
    <w:rPr/>
  </w:style>
  <w:style w:type="character" w:styleId="Style8" w:customStyle="1">
    <w:name w:val="Текст выноски Знак"/>
    <w:basedOn w:val="DefaultParagraphFont"/>
    <w:uiPriority w:val="99"/>
    <w:semiHidden/>
    <w:qFormat/>
    <w:rsid w:val="00ab57f9"/>
    <w:rPr>
      <w:rFonts w:ascii="Tahoma" w:hAnsi="Tahoma" w:eastAsia="Times New Roman" w:cs="Tahoma"/>
      <w:sz w:val="16"/>
      <w:szCs w:val="16"/>
      <w:lang w:eastAsia="ru-RU"/>
    </w:rPr>
  </w:style>
  <w:style w:type="character" w:styleId="Style9" w:customStyle="1">
    <w:name w:val="Гипертекстовая ссылка"/>
    <w:basedOn w:val="DefaultParagraphFont"/>
    <w:uiPriority w:val="99"/>
    <w:qFormat/>
    <w:rsid w:val="002b02d3"/>
    <w:rPr>
      <w:color w:val="106BBE"/>
    </w:rPr>
  </w:style>
  <w:style w:type="character" w:styleId="11" w:customStyle="1">
    <w:name w:val="Заголовок 1 Знак"/>
    <w:basedOn w:val="DefaultParagraphFont"/>
    <w:uiPriority w:val="9"/>
    <w:qFormat/>
    <w:rsid w:val="002b02d3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-">
    <w:name w:val="Hyperlink"/>
    <w:basedOn w:val="DefaultParagraphFont"/>
    <w:uiPriority w:val="99"/>
    <w:unhideWhenUsed/>
    <w:rsid w:val="00643432"/>
    <w:rPr>
      <w:color w:val="0000FF" w:themeColor="hyperlink"/>
      <w:u w:val="singl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Lohit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5">
    <w:name w:val="Колонтитул"/>
    <w:basedOn w:val="Normal"/>
    <w:qFormat/>
    <w:pPr/>
    <w:rPr/>
  </w:style>
  <w:style w:type="paragraph" w:styleId="Style16">
    <w:name w:val="Header"/>
    <w:basedOn w:val="Normal"/>
    <w:uiPriority w:val="99"/>
    <w:rsid w:val="00de3cf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b1644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ab57f9"/>
    <w:pPr/>
    <w:rPr>
      <w:rFonts w:ascii="Tahoma" w:hAnsi="Tahoma" w:cs="Tahoma"/>
      <w:sz w:val="16"/>
      <w:szCs w:val="16"/>
    </w:rPr>
  </w:style>
  <w:style w:type="paragraph" w:styleId="Style17" w:customStyle="1">
    <w:name w:val="Прижатый влево"/>
    <w:basedOn w:val="Normal"/>
    <w:next w:val="Normal"/>
    <w:uiPriority w:val="99"/>
    <w:qFormat/>
    <w:rsid w:val="008d7178"/>
    <w:pPr>
      <w:widowControl w:val="false"/>
    </w:pPr>
    <w:rPr>
      <w:rFonts w:ascii="Arial" w:hAnsi="Arial" w:eastAsia="" w:cs="Arial" w:eastAsiaTheme="minorEastAsia"/>
    </w:rPr>
  </w:style>
  <w:style w:type="paragraph" w:styleId="Style18" w:customStyle="1">
    <w:name w:val="Нормальный (таблица)"/>
    <w:basedOn w:val="Normal"/>
    <w:next w:val="Normal"/>
    <w:uiPriority w:val="99"/>
    <w:qFormat/>
    <w:rsid w:val="008d7178"/>
    <w:pPr>
      <w:widowControl w:val="false"/>
      <w:jc w:val="both"/>
    </w:pPr>
    <w:rPr>
      <w:rFonts w:ascii="Arial" w:hAnsi="Arial" w:eastAsia="" w:cs="Arial" w:eastAsiaTheme="minorEastAsia"/>
    </w:rPr>
  </w:style>
  <w:style w:type="paragraph" w:styleId="ConsPlusTitle" w:customStyle="1">
    <w:name w:val="ConsPlusTitle"/>
    <w:uiPriority w:val="99"/>
    <w:qFormat/>
    <w:rsid w:val="00643432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bd538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nhideWhenUsed/>
    <w:qFormat/>
    <w:rsid w:val="000802b1"/>
    <w:pPr>
      <w:spacing w:beforeAutospacing="1" w:afterAutospacing="1"/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viluchinsk-city.ru/" TargetMode="External"/><Relationship Id="rId3" Type="http://schemas.openxmlformats.org/officeDocument/2006/relationships/hyperlink" Target="http://www.viluchinsk-city.ru/" TargetMode="External"/><Relationship Id="rId4" Type="http://schemas.openxmlformats.org/officeDocument/2006/relationships/hyperlink" Target="mailto:mynkontrolvgo@viladm.ru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E7D0F-BD3D-4332-AC0A-9E2DEFE2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LibreOffice/7.5.0.3$Windows_X86_64 LibreOffice_project/c21113d003cd3efa8c53188764377a8272d9d6de</Application>
  <AppVersion>15.0000</AppVersion>
  <Pages>6</Pages>
  <Words>1295</Words>
  <Characters>10366</Characters>
  <CharactersWithSpaces>11792</CharactersWithSpaces>
  <Paragraphs>81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dc:description/>
  <dc:language>ru-RU</dc:language>
  <cp:lastModifiedBy/>
  <dcterms:modified xsi:type="dcterms:W3CDTF">2024-09-25T17:50:49Z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