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АДМИНИСТРАЦИЯ ВИЛЮЧИНСКОГО ГОРОДСКОГО ОКРУГА</w:t>
      </w:r>
    </w:p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ЗАКРЫТОГО АДМИНИСТРАТИВНО-ТЕРРИТОРИАЛЬНОГО ОБРАЗОВАНИЯ</w:t>
      </w:r>
    </w:p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ГОРОДА ВИЛЮЧИНСКА КАМЧАТСКОГО КРАЯ</w:t>
      </w:r>
    </w:p>
    <w:p>
      <w:pPr>
        <w:pStyle w:val="NoSpacing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Spacing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 О С Т А Н О В Л Е Н И Е</w:t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Spacing"/>
        <w:rPr/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>10.09.2026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№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>783</w:t>
      </w:r>
    </w:p>
    <w:p>
      <w:pPr>
        <w:pStyle w:val="NoSpacing"/>
        <w:tabs>
          <w:tab w:val="clear" w:pos="708"/>
          <w:tab w:val="left" w:pos="585" w:leader="none"/>
          <w:tab w:val="left" w:pos="690" w:leader="none"/>
          <w:tab w:val="left" w:pos="840" w:leader="none"/>
        </w:tabs>
        <w:jc w:val="center"/>
        <w:rPr/>
      </w:pPr>
      <w:r>
        <w:rPr>
          <w:rFonts w:ascii="Times New Roman" w:hAnsi="Times New Roman"/>
          <w:color w:val="000000"/>
          <w:sz w:val="20"/>
          <w:szCs w:val="20"/>
        </w:rPr>
        <w:t xml:space="preserve">г. </w:t>
      </w:r>
      <w:r>
        <w:rPr>
          <w:rFonts w:ascii="Times New Roman" w:hAnsi="Times New Roman"/>
          <w:color w:val="000000"/>
          <w:sz w:val="24"/>
          <w:szCs w:val="24"/>
        </w:rPr>
        <w:t>Вилючинск</w:t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Порядка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предоставления мер поддержки 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участникам специальной военной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операции и членам их семей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муниципальных общеобразовательных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организациях Вилючинского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округа</w:t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tabs>
          <w:tab w:val="clear" w:pos="708"/>
          <w:tab w:val="left" w:pos="709" w:leader="none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Федеральным законом от 29.12.2012 № 273-ФЗ «Об образовании в Российской Федерации», со статьей 16 Федерального закона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Указом  Президента Российской Федерации 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письмом  Министерства цифрового развития Камчатского края от 30.07.2026 № 56.02.01-14/1505 «О предоставлении информации о ходе исполнения мероприятий «дорожных карт», приказом Министерства образования Камчатского края от 28.07.2026  № 27-Н «Об установлении отдельных мер поддержки, предусмотренных Указом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ПОСТАНОВЛЯЮ:</w:t>
      </w:r>
    </w:p>
    <w:p>
      <w:pPr>
        <w:pStyle w:val="NoSpacing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</w:p>
    <w:p>
      <w:pPr>
        <w:pStyle w:val="1"/>
        <w:numPr>
          <w:ilvl w:val="0"/>
          <w:numId w:val="2"/>
        </w:numPr>
        <w:tabs>
          <w:tab w:val="clear" w:pos="708"/>
          <w:tab w:val="left" w:pos="1134" w:leader="none"/>
        </w:tabs>
        <w:spacing w:lineRule="auto" w:line="240"/>
        <w:ind w:firstLine="680" w:left="0"/>
        <w:jc w:val="both"/>
        <w:rPr>
          <w:sz w:val="28"/>
          <w:szCs w:val="28"/>
        </w:rPr>
      </w:pPr>
      <w:r>
        <w:rPr>
          <w:rFonts w:ascii="Tempora LGC Uni" w:hAnsi="Tempora LGC Uni"/>
          <w:bCs/>
          <w:sz w:val="28"/>
          <w:szCs w:val="28"/>
        </w:rPr>
        <w:t xml:space="preserve">Утвердить Порядок предоставления мер </w:t>
      </w:r>
      <w:r>
        <w:rPr>
          <w:bCs/>
          <w:sz w:val="28"/>
          <w:szCs w:val="28"/>
        </w:rPr>
        <w:t xml:space="preserve">поддержки участникам </w:t>
      </w:r>
      <w:r>
        <w:rPr>
          <w:sz w:val="28"/>
          <w:szCs w:val="28"/>
        </w:rPr>
        <w:t xml:space="preserve">специальной военной операции и членам их семей  в муниципальных общеобразовательных организациях </w:t>
      </w:r>
      <w:r>
        <w:rPr>
          <w:bCs/>
          <w:sz w:val="28"/>
          <w:szCs w:val="28"/>
        </w:rPr>
        <w:t xml:space="preserve">Вилючинского городского округа» </w:t>
      </w:r>
      <w:r>
        <w:rPr>
          <w:rFonts w:ascii="Tempora LGC Uni" w:hAnsi="Tempora LGC Uni"/>
          <w:bCs/>
          <w:sz w:val="28"/>
          <w:szCs w:val="28"/>
        </w:rPr>
        <w:t>согласно приложению к настоящему постановлению.</w:t>
      </w:r>
    </w:p>
    <w:p>
      <w:pPr>
        <w:pStyle w:val="1"/>
        <w:widowControl w:val="false"/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empora LGC Uni" w:hAnsi="Tempora LGC Uni"/>
          <w:bCs/>
          <w:sz w:val="28"/>
          <w:szCs w:val="28"/>
        </w:rPr>
        <w:t xml:space="preserve">  </w:t>
      </w:r>
      <w:r>
        <w:rPr>
          <w:rFonts w:ascii="Tempora LGC Uni" w:hAnsi="Tempora LGC Uni"/>
          <w:bCs/>
          <w:sz w:val="28"/>
          <w:szCs w:val="28"/>
        </w:rPr>
        <w:t xml:space="preserve">2. </w:t>
      </w:r>
      <w:r>
        <w:rPr>
          <w:bCs/>
          <w:sz w:val="28"/>
          <w:szCs w:val="28"/>
        </w:rPr>
        <w:t xml:space="preserve">Директору муниципального казенного учреждения «Ресурсно-информационный центр» Вилючинского городского округа О.Ю. Трофимовой опубликовать настоящее постановление в периодическом печатном издании «Вилючинская газета. Официальные известия Вилючинского городского округа ЗАТО г. Вилючинска Камчатского края» и разместить на официальном сайте органов местного самоуправления Вилючинского городского округа в информационно-телекоммуникационной сети «Интернет». </w:t>
      </w:r>
    </w:p>
    <w:p>
      <w:pPr>
        <w:pStyle w:val="Normal"/>
        <w:tabs>
          <w:tab w:val="clear" w:pos="708"/>
          <w:tab w:val="left" w:pos="1080" w:leader="none"/>
        </w:tabs>
        <w:spacing w:lineRule="auto" w:line="240" w:before="0" w:after="0"/>
        <w:ind w:firstLine="680"/>
        <w:contextualSpacing w:val="false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   Настоящее постановление вступает в силу со дня его официального опубликования.</w:t>
      </w:r>
    </w:p>
    <w:p>
      <w:pPr>
        <w:pStyle w:val="Normal"/>
        <w:tabs>
          <w:tab w:val="clear" w:pos="708"/>
          <w:tab w:val="left" w:pos="-142" w:leader="none"/>
        </w:tabs>
        <w:spacing w:lineRule="auto" w:line="240" w:before="0" w:after="0"/>
        <w:ind w:firstLine="680"/>
        <w:contextualSpacing w:val="false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>.  Контроль за исполнением настоящего постановления оставляю за собой.</w:t>
      </w:r>
    </w:p>
    <w:p>
      <w:pPr>
        <w:pStyle w:val="Normal"/>
        <w:tabs>
          <w:tab w:val="clear" w:pos="708"/>
          <w:tab w:val="left" w:pos="-142" w:leader="none"/>
        </w:tabs>
        <w:spacing w:lineRule="auto" w:line="240" w:before="0" w:after="0"/>
        <w:ind w:firstLine="680"/>
        <w:contextualSpacing w:val="fals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-142" w:leader="none"/>
        </w:tabs>
        <w:spacing w:lineRule="auto" w:line="240" w:before="0" w:after="0"/>
        <w:ind w:firstLine="680"/>
        <w:contextualSpacing w:val="fals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Глава Вилючинского</w:t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городского округа</w:t>
        <w:tab/>
        <w:tab/>
        <w:tab/>
        <w:tab/>
        <w:tab/>
        <w:tab/>
        <w:tab/>
        <w:t xml:space="preserve">     </w:t>
      </w:r>
      <w:bookmarkStart w:id="0" w:name="_GoBack"/>
      <w:bookmarkEnd w:id="0"/>
      <w:r>
        <w:rPr>
          <w:rFonts w:eastAsia="Times New Roman" w:cs="Times New Roman" w:ascii="Times New Roman" w:hAnsi="Times New Roman"/>
          <w:b/>
          <w:sz w:val="28"/>
          <w:szCs w:val="28"/>
        </w:rPr>
        <w:t>О.С. Бондаренко</w:t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sz w:val="28"/>
          <w:szCs w:val="28"/>
        </w:rPr>
      </w:pPr>
      <w:r>
        <w:rPr/>
      </w:r>
    </w:p>
    <w:p>
      <w:pPr>
        <w:sectPr>
          <w:type w:val="nextPage"/>
          <w:pgSz w:w="11906" w:h="16838"/>
          <w:pgMar w:left="1701" w:right="567" w:gutter="0" w:header="0" w:top="850" w:footer="0" w:bottom="680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sz w:val="28"/>
          <w:szCs w:val="28"/>
        </w:rPr>
      </w:pPr>
      <w:r>
        <w:rPr/>
      </w:r>
    </w:p>
    <w:p>
      <w:pPr>
        <w:pStyle w:val="Normal"/>
        <w:tabs>
          <w:tab w:val="clear" w:pos="708"/>
          <w:tab w:val="left" w:pos="6180" w:leader="none"/>
        </w:tabs>
        <w:spacing w:lineRule="auto" w:line="240"/>
        <w:ind w:hanging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Приложение  </w:t>
      </w:r>
    </w:p>
    <w:p>
      <w:pPr>
        <w:pStyle w:val="1"/>
        <w:tabs>
          <w:tab w:val="clear" w:pos="708"/>
          <w:tab w:val="left" w:pos="8643" w:leader="none"/>
        </w:tabs>
        <w:spacing w:lineRule="auto" w:line="240"/>
        <w:ind w:firstLine="5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>
      <w:pPr>
        <w:pStyle w:val="1"/>
        <w:tabs>
          <w:tab w:val="clear" w:pos="708"/>
          <w:tab w:val="left" w:pos="8643" w:leader="none"/>
        </w:tabs>
        <w:spacing w:lineRule="auto" w:line="240"/>
        <w:ind w:firstLine="560"/>
        <w:jc w:val="right"/>
        <w:rPr>
          <w:sz w:val="24"/>
          <w:szCs w:val="24"/>
        </w:rPr>
      </w:pPr>
      <w:r>
        <w:rPr>
          <w:sz w:val="24"/>
          <w:szCs w:val="24"/>
        </w:rPr>
        <w:t>Вилючинского городского округа</w:t>
      </w:r>
    </w:p>
    <w:p>
      <w:pPr>
        <w:pStyle w:val="1"/>
        <w:tabs>
          <w:tab w:val="clear" w:pos="708"/>
          <w:tab w:val="left" w:pos="8643" w:leader="none"/>
        </w:tabs>
        <w:spacing w:lineRule="auto" w:line="240"/>
        <w:ind w:firstLine="5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>10.09.2026</w:t>
      </w:r>
      <w:r>
        <w:rPr>
          <w:sz w:val="24"/>
          <w:szCs w:val="24"/>
          <w:u w:val="none"/>
        </w:rPr>
        <w:t xml:space="preserve"> </w:t>
      </w:r>
      <w:r>
        <w:rPr>
          <w:sz w:val="24"/>
          <w:szCs w:val="24"/>
        </w:rPr>
        <w:t xml:space="preserve">№ </w:t>
      </w:r>
      <w:r>
        <w:rPr>
          <w:sz w:val="24"/>
          <w:szCs w:val="24"/>
          <w:u w:val="single"/>
        </w:rPr>
        <w:t>783</w:t>
      </w:r>
      <w:r>
        <w:rPr>
          <w:sz w:val="24"/>
          <w:szCs w:val="24"/>
          <w:u w:val="none"/>
        </w:rPr>
        <w:t xml:space="preserve"> </w:t>
      </w:r>
    </w:p>
    <w:p>
      <w:pPr>
        <w:pStyle w:val="1"/>
        <w:spacing w:lineRule="auto" w:line="252" w:before="0" w:after="300"/>
        <w:ind w:firstLine="100" w:left="6660"/>
        <w:jc w:val="right"/>
        <w:rPr/>
      </w:pPr>
      <w:r>
        <w:rPr/>
      </w:r>
    </w:p>
    <w:p>
      <w:pPr>
        <w:pStyle w:val="1"/>
        <w:spacing w:lineRule="auto" w:line="264"/>
        <w:ind w:hanging="0"/>
        <w:jc w:val="center"/>
        <w:rPr>
          <w:b/>
          <w:bCs/>
        </w:rPr>
      </w:pPr>
      <w:r>
        <w:rPr>
          <w:b/>
          <w:bCs/>
          <w:sz w:val="28"/>
          <w:szCs w:val="28"/>
        </w:rPr>
        <w:t>Порядок предоставления мер поддержки  участникам специальной военной операции и членам их семей  в муниципальных общеобразовательных организациях Вилючинского городского округа</w:t>
      </w:r>
    </w:p>
    <w:p>
      <w:pPr>
        <w:pStyle w:val="1"/>
        <w:spacing w:lineRule="auto" w:line="264"/>
        <w:ind w:hanging="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Настоящий Порядок устанавливает правила предоставления мер (услуг) социальной поддержки </w:t>
      </w:r>
      <w:r>
        <w:rPr>
          <w:b w:val="false"/>
          <w:bCs w:val="false"/>
          <w:sz w:val="28"/>
          <w:szCs w:val="28"/>
        </w:rPr>
        <w:t>в муниципальных общеобразовательных организациях Вилючинского городского округа (далее-Порядок) для лиц,</w:t>
      </w:r>
      <w:r>
        <w:rPr>
          <w:b/>
          <w:bCs/>
          <w:sz w:val="28"/>
          <w:szCs w:val="28"/>
        </w:rPr>
        <w:t xml:space="preserve"> </w:t>
      </w:r>
      <w:r>
        <w:rPr>
          <w:b w:val="false"/>
          <w:bCs w:val="false"/>
          <w:sz w:val="28"/>
          <w:szCs w:val="28"/>
        </w:rPr>
        <w:t>принимающих (принимавших) участие (содействующих (содействовавших) выполнению задач) в специальной военной операции, лиц, выполняющих (выполнявших)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Федерации, прилегающих к районам проведения специальной военной операции, лиц,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– участники специальной военной операции), а также членов семей участников специальной военной операции.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2. Участникам специальной военной операции и членам их семей предоставляются следующие меры поддержки: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зачисление (в том числе при переводе из одной организации, осуществляющей образовательную деятельность, в другую) в первоочередном порядке детей участников специальной военной операции в наиболее приближенные к месту жительства семьи муниципальные образовательные организации, подведомственные администрации Вилючинского городского округа Камчатского края, осуществляющие образовательную деятельность по образовательным программам начального общего, основного общего и среднего общего образования;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2) бесплатное посещение детей участников специальной военной операции занятий по дополнительным общеобразовательным программам в краевых государственных образовательных организациях, подведомственных администрации Вилючинского городского округа,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программам;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3) организация  бесплатного горячего питания детям участников специальной военной в период получения ими начального общего, основного общего и среднего общего образования в общеобразовательных организациях подведомственных администрации Вилючинского городского округа.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3. Для мер поддержки, установленных подпунктами 1, 2 пункта 2 настоящего Порядка: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1) членами семьи участников специальной военной операции являются родители (законные представители) детей участников специальной военной операции;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2) детьми участников специальной военной операции являются: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а) дети, у которых один из родителей (законных представителей) и (или) супруг (супруга) одного из родителей (законных представителей) является участником специальной военной операции, в том числе которые рождены после гибели участников специальной военной операции и в отношении которых отцовство установлено в соответствии с пунктом 2 статьи 48 Семейного кодекса Российской Федерации, а также дети, находящиеся под опекой (попечительством) участника специальной военной операции и (или) его супруги (супруга);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б) дети, находящиеся на иждивении участников специальной военной операции либо находившиеся на иждивении участников специальной военной операции на дату их гибели (смерти).</w:t>
      </w:r>
    </w:p>
    <w:p>
      <w:pPr>
        <w:pStyle w:val="1"/>
        <w:tabs>
          <w:tab w:val="clear" w:pos="708"/>
          <w:tab w:val="left" w:pos="0" w:leader="none"/>
        </w:tabs>
        <w:ind w:firstLine="709"/>
        <w:jc w:val="both"/>
        <w:rPr/>
      </w:pPr>
      <w:r>
        <w:rPr>
          <w:sz w:val="28"/>
          <w:szCs w:val="28"/>
          <w:shd w:fill="auto" w:val="clear"/>
        </w:rPr>
        <w:t xml:space="preserve">Для мер поддержки, установленных подпунктом 3 пункта 2 настоящего Порядка категория получателей устанавливается в соответствии с Законом Камчатского края </w:t>
      </w:r>
      <w:r>
        <w:rPr>
          <w:caps w:val="false"/>
          <w:smallCaps w:val="false"/>
          <w:color w:val="22272F"/>
          <w:spacing w:val="0"/>
          <w:sz w:val="28"/>
          <w:szCs w:val="28"/>
          <w:shd w:fill="auto" w:val="clear"/>
        </w:rPr>
        <w:t xml:space="preserve"> от 12.02.2014 № 390 </w:t>
      </w:r>
      <w:r>
        <w:rPr>
          <w:b w:val="false"/>
          <w:i w:val="false"/>
          <w:caps w:val="false"/>
          <w:smallCaps w:val="false"/>
          <w:color w:val="22272F"/>
          <w:spacing w:val="0"/>
          <w:sz w:val="28"/>
          <w:szCs w:val="28"/>
          <w:shd w:fill="auto" w:val="clear"/>
        </w:rPr>
        <w:t>«О мерах социальной поддержки отдельных категорий граждан в период получения ими образования в государственных и муниципальных образовательных организациях в Камчатском  крае», постановлением Правительства Камчатского края от 18 апреля 2014 № 183-П «Об утверждении Порядка предоставления мер социальной поддержки отдельным категориям граждан в период получения ими образования в государственных и муниципальных образовательных организациях в Камчатском крае».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Меры поддержки, указанные в пункте 2 настоящего Порядка, предоставляются на весь период  обучения ребёнка  в общеобразовательной организации. Заявление подаётся родителем (законным представителем) ребёнка однократно при первоначальном обращении. 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5. Решение  о предоставлении мер поддержки принимается   общеобразовательной организацией на основании заявления и прилагаемых документов, а также сведений, полученных в порядке межведомственного взаимодействия.</w:t>
      </w:r>
    </w:p>
    <w:p>
      <w:pPr>
        <w:pStyle w:val="Normal"/>
        <w:tabs>
          <w:tab w:val="clear" w:pos="708"/>
          <w:tab w:val="left" w:pos="0" w:leader="none"/>
        </w:tabs>
        <w:ind w:hanging="0"/>
        <w:jc w:val="both"/>
        <w:rPr>
          <w:rFonts w:ascii="Tempora LGC Uni" w:hAnsi="Tempora LGC Uni"/>
        </w:rPr>
      </w:pPr>
      <w:r>
        <w:rPr>
          <w:rFonts w:ascii="Tempora LGC Uni" w:hAnsi="Tempora LGC Uni"/>
          <w:sz w:val="28"/>
          <w:szCs w:val="28"/>
          <w:shd w:fill="auto" w:val="clear"/>
        </w:rPr>
        <w:tab/>
        <w:t xml:space="preserve">6. Заявление о предоставлении мер поддержки может быть подано одним из следующих способов: </w:t>
      </w:r>
    </w:p>
    <w:p>
      <w:pPr>
        <w:pStyle w:val="1"/>
        <w:spacing w:lineRule="auto" w:line="240"/>
        <w:ind w:firstLine="68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 xml:space="preserve">1) на бумажном носителе лично в общеобразовательную организацию, в которой обучается (планирует обучение) ребёнок; </w:t>
      </w:r>
    </w:p>
    <w:p>
      <w:pPr>
        <w:pStyle w:val="1"/>
        <w:spacing w:lineRule="auto" w:line="240"/>
        <w:ind w:firstLine="68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>2)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портал);</w:t>
      </w:r>
    </w:p>
    <w:p>
      <w:pPr>
        <w:pStyle w:val="1"/>
        <w:spacing w:lineRule="auto" w:line="240"/>
        <w:ind w:firstLine="68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>3) на бумажном носителе через многофункциональные центры предоставления государственных и муниципальных услуг (далее - МФЦ).</w:t>
      </w:r>
    </w:p>
    <w:p>
      <w:pPr>
        <w:pStyle w:val="1"/>
        <w:ind w:hanging="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ab/>
        <w:t>7.  К заявлению прилагаются следующие документы:</w:t>
      </w:r>
    </w:p>
    <w:p>
      <w:pPr>
        <w:pStyle w:val="1"/>
        <w:ind w:hanging="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ab/>
        <w:t>- паспорт заявителя (родителя, законного представителя);</w:t>
      </w:r>
    </w:p>
    <w:p>
      <w:pPr>
        <w:pStyle w:val="1"/>
        <w:ind w:hanging="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ab/>
        <w:t>- свидетельство о рождении;</w:t>
      </w:r>
    </w:p>
    <w:p>
      <w:pPr>
        <w:pStyle w:val="1"/>
        <w:ind w:hanging="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ab/>
        <w:t>- СНИЛС ребёнка;</w:t>
      </w:r>
    </w:p>
    <w:p>
      <w:pPr>
        <w:pStyle w:val="1"/>
        <w:tabs>
          <w:tab w:val="clear" w:pos="708"/>
          <w:tab w:val="left" w:pos="0" w:leader="none"/>
        </w:tabs>
        <w:ind w:firstLine="680"/>
        <w:jc w:val="both"/>
        <w:rPr>
          <w:color w:val="auto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- справка федерального органа исполнительной власти об участии в СВО или о статусе участника СВО (при наличии).</w:t>
      </w:r>
    </w:p>
    <w:p>
      <w:pPr>
        <w:pStyle w:val="1"/>
        <w:tabs>
          <w:tab w:val="clear" w:pos="708"/>
          <w:tab w:val="left" w:pos="0" w:leader="none"/>
        </w:tabs>
        <w:ind w:firstLine="680"/>
        <w:jc w:val="both"/>
        <w:rPr>
          <w:color w:val="auto"/>
        </w:rPr>
      </w:pPr>
      <w:r>
        <w:rPr>
          <w:color w:val="000000"/>
          <w:sz w:val="28"/>
          <w:szCs w:val="28"/>
          <w:shd w:fill="auto" w:val="clear"/>
        </w:rPr>
        <w:t>8. В случае непредставления документов, подтверждающих право пользования мерами поддержки, установленных  пунктом 2 настоящего Порядка, орган (организация)  Вилючинского городского округа запрашивает сведения  в порядке межведомственного взаимодействия, в том числе с использованием витрины данных  Министерства обороны Российской Федерации (при подаче заявления через единый портал).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hd w:fill="auto" w:val="clear"/>
        </w:rPr>
      </w:pPr>
      <w:r>
        <w:rPr>
          <w:rFonts w:cs="Times New Roman"/>
          <w:sz w:val="28"/>
          <w:szCs w:val="28"/>
          <w:shd w:fill="auto" w:val="clear"/>
        </w:rPr>
        <w:tab/>
        <w:t>9. При подаче заявления через Единый портал формирование заявления осуществляется посредством заполнения  интерактивной формы. К заявлению прикрепляются электронные образы документов, указанных в пункте 7 настоящего Порядка. Дополнительная подача заявления в иной форме не требуется.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hd w:fill="auto" w:val="clear"/>
        </w:rPr>
      </w:pPr>
      <w:r>
        <w:rPr>
          <w:rFonts w:cs="Times New Roman"/>
          <w:sz w:val="28"/>
          <w:szCs w:val="28"/>
          <w:shd w:fill="auto" w:val="clear"/>
        </w:rPr>
        <w:tab/>
        <w:t>10. Заявление регистрируется в день поступления в общеобразовательной организации(при личной подаче или через МФЦ) либо в день автоматической фиксации системой (при подаче через Единый портал). Факт регистрации подтверждается выдачей расписки (при личной подаче) либо электронным уведомлением (при подаче в электронной форме).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hd w:fill="auto" w:val="clear"/>
        </w:rPr>
      </w:pPr>
      <w:r>
        <w:rPr>
          <w:rFonts w:cs="Times New Roman"/>
          <w:sz w:val="28"/>
          <w:szCs w:val="28"/>
          <w:shd w:fill="auto" w:val="clear"/>
        </w:rPr>
        <w:tab/>
        <w:t>11. Срок рассмотрения заявления составляет 1 рабочий день с даты регистрации. По результатам рассмотрения орган (организация) издаёт приказ о предоставлении мер поддержки либо направляет заявителю мотивированное уведомление об отказе.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hd w:fill="auto" w:val="clear"/>
        </w:rPr>
      </w:pPr>
      <w:r>
        <w:rPr>
          <w:rFonts w:cs="Times New Roman"/>
          <w:sz w:val="28"/>
          <w:szCs w:val="28"/>
          <w:shd w:fill="auto" w:val="clear"/>
        </w:rPr>
        <w:tab/>
        <w:t>12. Основания для отказа в предоставлении мер поддержки являются: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  <w:shd w:fill="auto" w:val="clear"/>
        </w:rPr>
        <w:tab/>
        <w:t xml:space="preserve">1) отчисления ребёнка из общеобразовательной организации; 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hd w:fill="auto" w:val="clear"/>
        </w:rPr>
      </w:pPr>
      <w:r>
        <w:rPr>
          <w:sz w:val="28"/>
          <w:szCs w:val="28"/>
        </w:rPr>
        <w:tab/>
        <w:t>2) подача  родителем (законным представителем) ребёнка письменного заявления об отказе от получения мер поддержки.</w:t>
      </w:r>
      <w:r>
        <w:rPr/>
        <w:t xml:space="preserve"> </w:t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hd w:fill="auto" w:val="clear"/>
        </w:rPr>
      </w:pPr>
      <w:r>
        <w:rPr>
          <w:rFonts w:cs="Times New Roman"/>
          <w:sz w:val="28"/>
          <w:szCs w:val="28"/>
          <w:shd w:fill="auto" w:val="clear"/>
        </w:rPr>
        <w:tab/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1"/>
        <w:tabs>
          <w:tab w:val="clear" w:pos="708"/>
          <w:tab w:val="left" w:pos="0" w:leader="none"/>
        </w:tabs>
        <w:ind w:hanging="0"/>
        <w:jc w:val="both"/>
        <w:rPr>
          <w:shd w:fill="auto" w:val="clear"/>
        </w:rPr>
      </w:pPr>
      <w:r>
        <w:rPr>
          <w:rFonts w:eastAsia="Times New Roman" w:cs="Times New Roman"/>
          <w:color w:val="333333"/>
          <w:sz w:val="28"/>
          <w:szCs w:val="28"/>
          <w:shd w:fill="auto" w:val="clear"/>
        </w:rPr>
        <w:tab/>
        <w:t xml:space="preserve"> </w:t>
      </w:r>
    </w:p>
    <w:p>
      <w:pPr>
        <w:pStyle w:val="1"/>
        <w:tabs>
          <w:tab w:val="clear" w:pos="708"/>
          <w:tab w:val="left" w:pos="120" w:leader="none"/>
        </w:tabs>
        <w:spacing w:lineRule="auto" w:line="264"/>
        <w:ind w:hanging="0" w:left="57"/>
        <w:jc w:val="both"/>
        <w:rPr/>
      </w:pPr>
      <w:r>
        <w:rPr/>
      </w:r>
    </w:p>
    <w:p>
      <w:pPr>
        <w:pStyle w:val="1"/>
        <w:ind w:firstLine="90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"/>
        <w:ind w:firstLine="782" w:left="1418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567" w:gutter="0" w:header="0" w:top="850" w:footer="0" w:bottom="680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roman"/>
    <w:pitch w:val="default"/>
  </w:font>
  <w:font w:name="Open Sans">
    <w:charset w:val="01"/>
    <w:family w:val="roman"/>
    <w:pitch w:val="default"/>
  </w:font>
  <w:font w:name="Tempora LGC Uni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embedSystemFonts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198"/>
      <w:contextualSpacing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Style14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</w:rPr>
  </w:style>
  <w:style w:type="character" w:styleId="3">
    <w:name w:val="Основной текст 3 Знак"/>
    <w:basedOn w:val="DefaultParagraphFont"/>
    <w:link w:val="BodyText3"/>
    <w:qFormat/>
    <w:rPr>
      <w:sz w:val="28"/>
      <w:szCs w:val="28"/>
    </w:rPr>
  </w:style>
  <w:style w:type="character" w:styleId="2">
    <w:name w:val="Основной текст 2 Знак"/>
    <w:basedOn w:val="DefaultParagraphFont"/>
    <w:link w:val="BodyText2"/>
    <w:qFormat/>
    <w:rPr>
      <w:rFonts w:ascii="Calibri" w:hAnsi="Calibri"/>
      <w:sz w:val="22"/>
      <w:szCs w:val="22"/>
    </w:rPr>
  </w:style>
  <w:style w:type="character" w:styleId="Style15">
    <w:name w:val="Обычный (веб) Знак"/>
    <w:link w:val="NormalWeb"/>
    <w:qFormat/>
    <w:rPr>
      <w:sz w:val="24"/>
      <w:szCs w:val="24"/>
    </w:rPr>
  </w:style>
  <w:style w:type="character" w:styleId="21">
    <w:name w:val="Основной текст (2)_"/>
    <w:basedOn w:val="DefaultParagraphFont"/>
    <w:link w:val="22"/>
    <w:qFormat/>
    <w:rPr>
      <w:rFonts w:ascii="Arial" w:hAnsi="Arial" w:eastAsia="Arial" w:cs="Arial"/>
      <w:i/>
      <w:iCs/>
      <w:sz w:val="114"/>
      <w:szCs w:val="114"/>
    </w:rPr>
  </w:style>
  <w:style w:type="character" w:styleId="Style16">
    <w:name w:val="Основной текст_"/>
    <w:basedOn w:val="DefaultParagraphFont"/>
    <w:link w:val="1"/>
    <w:qFormat/>
    <w:rPr>
      <w:sz w:val="26"/>
      <w:szCs w:val="26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  <w:contextualSpacing w:val="false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before="0" w:after="140"/>
      <w:contextualSpacing w:val="false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  <w:contextualSpacing w:val="false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  <w:contextualSpacing w:val="false"/>
    </w:pPr>
    <w:rPr>
      <w:rFonts w:ascii="Open Sans" w:hAnsi="Open Sans" w:eastAsia="Tahoma" w:cs="Lohit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  <w:contextualSpacing w:val="false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Style14"/>
    <w:qFormat/>
    <w:pPr>
      <w:spacing w:lineRule="auto" w:line="240" w:before="0" w:after="0"/>
      <w:contextualSpacing w:val="false"/>
    </w:pPr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3"/>
    <w:qFormat/>
    <w:pPr>
      <w:spacing w:lineRule="auto" w:line="240" w:before="0" w:after="0"/>
      <w:ind w:right="4680"/>
      <w:contextualSpacing w:val="false"/>
    </w:pPr>
    <w:rPr>
      <w:rFonts w:ascii="Times New Roman" w:hAnsi="Times New Roman" w:eastAsia="Times New Roman" w:cs="Times New Roman"/>
      <w:sz w:val="28"/>
      <w:szCs w:val="28"/>
    </w:rPr>
  </w:style>
  <w:style w:type="paragraph" w:styleId="BodyText2">
    <w:name w:val="Body Text 2"/>
    <w:basedOn w:val="Normal"/>
    <w:link w:val="2"/>
    <w:qFormat/>
    <w:pPr>
      <w:spacing w:lineRule="auto" w:line="480" w:before="0" w:after="120"/>
      <w:contextualSpacing w:val="false"/>
    </w:pPr>
    <w:rPr>
      <w:rFonts w:ascii="Calibri" w:hAnsi="Calibri" w:eastAsia="Times New Roman" w:cs="Times New Roman"/>
    </w:rPr>
  </w:style>
  <w:style w:type="paragraph" w:styleId="NormalWeb">
    <w:name w:val="Normal (Web)"/>
    <w:basedOn w:val="Normal"/>
    <w:link w:val="Style15"/>
    <w:qFormat/>
    <w:pPr>
      <w:spacing w:lineRule="auto" w:line="240" w:before="280" w:after="280"/>
      <w:contextualSpacing w:val="false"/>
    </w:pPr>
    <w:rPr>
      <w:rFonts w:ascii="Times New Roman" w:hAnsi="Times New Roman" w:eastAsia="Times New Roman" w:cs="Times New Roman"/>
      <w:sz w:val="24"/>
      <w:szCs w:val="24"/>
    </w:rPr>
  </w:style>
  <w:style w:type="paragraph" w:styleId="22">
    <w:name w:val="Основной текст (2)"/>
    <w:basedOn w:val="Normal"/>
    <w:link w:val="21"/>
    <w:qFormat/>
    <w:pPr>
      <w:widowControl w:val="false"/>
      <w:spacing w:lineRule="auto" w:line="240" w:before="0" w:after="0"/>
      <w:ind w:firstLine="740"/>
      <w:contextualSpacing w:val="false"/>
    </w:pPr>
    <w:rPr>
      <w:rFonts w:ascii="Arial" w:hAnsi="Arial" w:eastAsia="Arial" w:cs="Arial"/>
      <w:i/>
      <w:iCs/>
      <w:sz w:val="114"/>
      <w:szCs w:val="114"/>
    </w:rPr>
  </w:style>
  <w:style w:type="paragraph" w:styleId="1">
    <w:name w:val="Основной текст1"/>
    <w:basedOn w:val="Normal"/>
    <w:link w:val="Style16"/>
    <w:qFormat/>
    <w:pPr>
      <w:widowControl w:val="false"/>
      <w:spacing w:lineRule="auto" w:line="259" w:before="0" w:after="0"/>
      <w:ind w:firstLine="400"/>
      <w:contextualSpacing w:val="false"/>
    </w:pPr>
    <w:rPr>
      <w:rFonts w:ascii="Times New Roman" w:hAnsi="Times New Roman" w:eastAsia="Times New Roman" w:cs="Times New Roman"/>
      <w:sz w:val="26"/>
      <w:szCs w:val="2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1130</TotalTime>
  <Application>LibreOffice/7.6.7.2$Linux_X86_64 LibreOffice_project/60$Build-2</Application>
  <AppVersion>15.0000</AppVersion>
  <Pages>5</Pages>
  <Words>1104</Words>
  <Characters>8240</Characters>
  <CharactersWithSpaces>9461</CharactersWithSpaces>
  <Paragraphs>57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2022-01-30T21:37:00Z</dcterms:created>
  <dc:creator>1</dc:creator>
  <dc:description/>
  <dc:language>ru-RU</dc:language>
  <cp:lastModifiedBy/>
  <cp:lastPrinted>2026-06-18T09:06:55Z</cp:lastPrinted>
  <dcterms:modified xsi:type="dcterms:W3CDTF">2026-09-15T17:43:55Z</dcterms:modified>
  <cp:revision>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