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ВИЛЮЧИНСКОГО ГОРОДСКОГО ОКРУГА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ЗАКРЫТОГО АДМИНИСТРАТИВНО-ТЕРРИТОРИАЛЬНОГО ОБРАЗОВАНИЯ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ГОРОДА ВИЛЮЧИНСКА КАМЧАТСКОГО КРАЯ</w:t>
      </w:r>
    </w:p>
    <w:p>
      <w:pPr>
        <w:pStyle w:val="NoSpacing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Spacing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rPr/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10.09.2026 </w:t>
      </w:r>
      <w:r>
        <w:rPr>
          <w:rFonts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№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782</w:t>
      </w:r>
    </w:p>
    <w:p>
      <w:pPr>
        <w:pStyle w:val="NoSpacing"/>
        <w:tabs>
          <w:tab w:val="clear" w:pos="708"/>
          <w:tab w:val="left" w:pos="585" w:leader="none"/>
          <w:tab w:val="left" w:pos="690" w:leader="none"/>
          <w:tab w:val="left" w:pos="840" w:leader="none"/>
        </w:tabs>
        <w:jc w:val="center"/>
        <w:rPr/>
      </w:pPr>
      <w:r>
        <w:rPr>
          <w:rFonts w:ascii="Times New Roman" w:hAnsi="Times New Roman"/>
          <w:color w:val="000000"/>
          <w:sz w:val="20"/>
          <w:szCs w:val="20"/>
        </w:rPr>
        <w:t xml:space="preserve">г. </w:t>
      </w:r>
      <w:r>
        <w:rPr>
          <w:rFonts w:ascii="Times New Roman" w:hAnsi="Times New Roman"/>
          <w:color w:val="000000"/>
          <w:sz w:val="24"/>
          <w:szCs w:val="24"/>
        </w:rPr>
        <w:t>Вилючинск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Порядка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мер поддержки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 специальной военной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операции и членам их семей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муниципальных дошкольных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образовательных организациях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Вилючинского городского округа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709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29.12.2012 № 273-ФЗ «Об образовании в Российской Федерации», со статьей 16 Федерального закона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Указом  Президента Российской Федерации 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письмом  Министерства цифрового развития Камчатского края от 30.07.2026 № 56.02.01-14/1505 «О предоставлении информации о ходе исполнения мероприятий «дорожных карт», приказом Министерства образования Камчатского края от 28.07.2026  № 27-Н «Об установлении отдельных мер поддержки, предусмотренных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>
      <w:pPr>
        <w:pStyle w:val="NoSpacing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1"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/>
        <w:ind w:firstLine="680" w:left="0"/>
        <w:jc w:val="both"/>
        <w:rPr>
          <w:sz w:val="28"/>
          <w:szCs w:val="28"/>
        </w:rPr>
      </w:pPr>
      <w:r>
        <w:rPr>
          <w:rFonts w:ascii="Tempora LGC Uni" w:hAnsi="Tempora LGC Uni"/>
          <w:bCs/>
          <w:sz w:val="28"/>
          <w:szCs w:val="28"/>
        </w:rPr>
        <w:t>Утвердить Порядок предоставления</w:t>
      </w:r>
      <w:r>
        <w:rPr>
          <w:bCs/>
          <w:sz w:val="28"/>
          <w:szCs w:val="28"/>
        </w:rPr>
        <w:t xml:space="preserve"> мер поддержки участникам </w:t>
      </w:r>
      <w:r>
        <w:rPr>
          <w:sz w:val="28"/>
          <w:szCs w:val="28"/>
        </w:rPr>
        <w:t xml:space="preserve">специальной военной операции и членам их семей  в муниципальных дошкольных  образовательных организациях </w:t>
      </w:r>
      <w:r>
        <w:rPr>
          <w:bCs/>
          <w:sz w:val="28"/>
          <w:szCs w:val="28"/>
        </w:rPr>
        <w:t xml:space="preserve">Вилючинского городского округа» </w:t>
      </w:r>
      <w:r>
        <w:rPr>
          <w:rFonts w:ascii="Tempora LGC Uni" w:hAnsi="Tempora LGC Uni"/>
          <w:bCs/>
          <w:sz w:val="28"/>
          <w:szCs w:val="28"/>
        </w:rPr>
        <w:t>согласно приложению к настоящему постановлению.</w:t>
      </w:r>
    </w:p>
    <w:p>
      <w:pPr>
        <w:pStyle w:val="1"/>
        <w:widowControl w:val="false"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 xml:space="preserve">  </w:t>
      </w:r>
      <w:r>
        <w:rPr>
          <w:rFonts w:ascii="Tempora LGC Uni" w:hAnsi="Tempora LGC Uni"/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Директору муниципального казенного учреждения «Ресурсно-информационный центр» 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 </w:t>
      </w:r>
    </w:p>
    <w:p>
      <w:pPr>
        <w:pStyle w:val="Normal"/>
        <w:tabs>
          <w:tab w:val="clear" w:pos="708"/>
          <w:tab w:val="left" w:pos="1080" w:leader="none"/>
        </w:tabs>
        <w:spacing w:lineRule="auto" w:line="240" w:before="0" w:after="0"/>
        <w:ind w:firstLine="680"/>
        <w:contextualSpacing w:val="false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  Настоящее постановление вступает в силу со дня его официального опубликования.</w:t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  Контроль за исполнением настоящего постановления оставляю за собой.</w:t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Глава Вилючинского</w:t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</w:t>
        <w:tab/>
        <w:tab/>
        <w:tab/>
        <w:tab/>
        <w:tab/>
        <w:tab/>
        <w:tab/>
        <w:t xml:space="preserve">    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8"/>
          <w:szCs w:val="28"/>
        </w:rPr>
        <w:t>О.С. Бондаренко</w:t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sectPr>
          <w:type w:val="nextPage"/>
          <w:pgSz w:w="11906" w:h="16838"/>
          <w:pgMar w:left="1701" w:right="567" w:gutter="0" w:header="0" w:top="850" w:footer="0" w:bottom="68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left" w:pos="6180" w:leader="none"/>
        </w:tabs>
        <w:spacing w:lineRule="auto" w:line="240"/>
        <w:ind w:hanging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 </w:t>
      </w:r>
    </w:p>
    <w:p>
      <w:pPr>
        <w:pStyle w:val="1"/>
        <w:tabs>
          <w:tab w:val="clear" w:pos="708"/>
          <w:tab w:val="left" w:pos="8643" w:leader="none"/>
        </w:tabs>
        <w:spacing w:lineRule="auto" w:line="240"/>
        <w:ind w:firstLine="5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>
      <w:pPr>
        <w:pStyle w:val="1"/>
        <w:tabs>
          <w:tab w:val="clear" w:pos="708"/>
          <w:tab w:val="left" w:pos="8643" w:leader="none"/>
        </w:tabs>
        <w:spacing w:lineRule="auto" w:line="240"/>
        <w:ind w:firstLine="560"/>
        <w:jc w:val="right"/>
        <w:rPr>
          <w:sz w:val="24"/>
          <w:szCs w:val="24"/>
        </w:rPr>
      </w:pPr>
      <w:r>
        <w:rPr>
          <w:sz w:val="24"/>
          <w:szCs w:val="24"/>
        </w:rPr>
        <w:t>Вилючинского городского округа</w:t>
      </w:r>
    </w:p>
    <w:p>
      <w:pPr>
        <w:pStyle w:val="1"/>
        <w:tabs>
          <w:tab w:val="clear" w:pos="708"/>
          <w:tab w:val="left" w:pos="8643" w:leader="none"/>
        </w:tabs>
        <w:spacing w:lineRule="auto" w:line="240"/>
        <w:ind w:firstLine="5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10.09.2026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782</w:t>
      </w:r>
      <w:r>
        <w:rPr>
          <w:sz w:val="24"/>
          <w:szCs w:val="24"/>
          <w:u w:val="none"/>
        </w:rPr>
        <w:t xml:space="preserve"> </w:t>
      </w:r>
    </w:p>
    <w:p>
      <w:pPr>
        <w:pStyle w:val="1"/>
        <w:spacing w:lineRule="auto" w:line="252" w:before="0" w:after="300"/>
        <w:ind w:firstLine="100" w:left="6660"/>
        <w:jc w:val="right"/>
        <w:rPr/>
      </w:pPr>
      <w:r>
        <w:rPr/>
      </w:r>
    </w:p>
    <w:p>
      <w:pPr>
        <w:pStyle w:val="1"/>
        <w:spacing w:lineRule="auto" w:line="264"/>
        <w:ind w:hanging="0"/>
        <w:jc w:val="center"/>
        <w:rPr>
          <w:b/>
          <w:bCs/>
        </w:rPr>
      </w:pPr>
      <w:r>
        <w:rPr>
          <w:b/>
          <w:bCs/>
          <w:sz w:val="28"/>
          <w:szCs w:val="28"/>
        </w:rPr>
        <w:t>Порядок предоставления мер поддержки  участникам специальной военной операции и членам их семей  в муниципальных дошкольных  образовательных организациях Вилючинского городского округа</w:t>
      </w:r>
    </w:p>
    <w:p>
      <w:pPr>
        <w:pStyle w:val="1"/>
        <w:spacing w:lineRule="auto" w:line="264"/>
        <w:ind w:hanging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Настоящий Порядок устанавливает правила предоставления мер (услуг) социальной поддержки </w:t>
      </w:r>
      <w:r>
        <w:rPr>
          <w:b w:val="false"/>
          <w:bCs w:val="false"/>
          <w:sz w:val="28"/>
          <w:szCs w:val="28"/>
        </w:rPr>
        <w:t>в муниципальных дошкольных образовательных организациях Вилючинского городского округа (далее-Порядок) для лиц,</w:t>
      </w:r>
      <w:r>
        <w:rPr>
          <w:b/>
          <w:bCs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Федерации, прилегающих к районам проведения специальной военной операции,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– участники специальной военной операции), а также членов семей участников специальной военной операции.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2. Участникам специальной военной операции и членам их семей предоставляются следующие меры поддержки: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зачисление (в том числе при переводе из одной организации, осуществляющей образовательную деятельность, в другую) в первоочередном порядке детей участников специальной военной операции в наиболее приближенные к месту жительства семьи муниципальные образовательные организации, подведомственные администрации Вилючинского городского округа Камчатского края, осуществляющие образовательную деятельность по  по основным образовательным программам дошкольного образования. 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Для целей настоящего Порядка: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членами семьи участников специальной военной операции являются родители (законные представители) детей участников специальной военной операции;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детьми участников специальной военной операции являются: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дети, у которых один из родителей (законных представителей) и (или) супруг (супруга) одного из родителей (законных представителей) является участником специальной военной операции, в том числе которые рождены после гибели участников специальной военной операции и в отношении которых отцовство установлено в соответствии с пунктом 2 статьи 48 Семейного кодекса Российской Федерации, а также дети, находящиеся под опекой (попечительством) участника специальной военной операции и (или) его супруги (супруга);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дети, находящиеся на иждивении участников специальной военной операции либо находившиеся на иждивении участников специальной военной операции на дату их гибели (смерти).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Мера поддержки, указанная в пункте 2 настоящего Порядка, предоставляются на весь период пребывания ребёнка  в  дошкольной образовательной организации. Заявление подаётся родителями (законными представителями) ребёнка однократно при первоначальном обращении. 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Решение  о предоставлении мер поддержки принимается   дошкольной образовательной организацией на основании заявления и прилагаемых документов, а также сведений, полученных в порядке межведомственного взаимодействия. </w:t>
      </w:r>
    </w:p>
    <w:p>
      <w:pPr>
        <w:pStyle w:val="Normal"/>
        <w:tabs>
          <w:tab w:val="clear" w:pos="708"/>
          <w:tab w:val="left" w:pos="0" w:leader="none"/>
        </w:tabs>
        <w:ind w:hanging="0"/>
        <w:jc w:val="both"/>
        <w:rPr>
          <w:rFonts w:ascii="Tempora LGC Uni" w:hAnsi="Tempora LGC Uni"/>
        </w:rPr>
      </w:pPr>
      <w:r>
        <w:rPr>
          <w:rFonts w:ascii="Tempora LGC Uni" w:hAnsi="Tempora LGC Uni"/>
          <w:sz w:val="28"/>
          <w:szCs w:val="28"/>
          <w:shd w:fill="auto" w:val="clear"/>
        </w:rPr>
        <w:tab/>
        <w:t xml:space="preserve">6. Заявление о предоставлении мер поддержки может быть подано одним из следующих способов: </w:t>
      </w:r>
    </w:p>
    <w:p>
      <w:pPr>
        <w:pStyle w:val="1"/>
        <w:spacing w:lineRule="auto" w:line="240"/>
        <w:ind w:firstLine="68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 xml:space="preserve">1) на бумажном носителе лично в дошкольную образовательную организацию Вилючинского городского округа, в которой обучается (планирует обучение) ребёнок; </w:t>
      </w:r>
    </w:p>
    <w:p>
      <w:pPr>
        <w:pStyle w:val="1"/>
        <w:spacing w:lineRule="auto" w:line="240"/>
        <w:ind w:firstLine="68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2)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портал);</w:t>
      </w:r>
    </w:p>
    <w:p>
      <w:pPr>
        <w:pStyle w:val="1"/>
        <w:spacing w:lineRule="auto" w:line="240"/>
        <w:ind w:firstLine="68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3) на бумажном носителе через многофункциональные центры предоставления государственных и муниципальных услуг (далее - МФЦ).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 xml:space="preserve">7.  К заявлению прилагаются следующие документы: 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>- паспорт заявителя (родителя, законного представителя);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>- свидетельство о рождении;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>- СНИЛС ребёнка;</w:t>
      </w:r>
    </w:p>
    <w:p>
      <w:pPr>
        <w:pStyle w:val="1"/>
        <w:tabs>
          <w:tab w:val="clear" w:pos="708"/>
          <w:tab w:val="left" w:pos="0" w:leader="none"/>
        </w:tabs>
        <w:ind w:firstLine="680"/>
        <w:jc w:val="both"/>
        <w:rPr>
          <w:color w:val="auto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- справка федерального органа исполнительной власти об участии в СВО или о статусе участника СВО (при наличии).</w:t>
      </w:r>
    </w:p>
    <w:p>
      <w:pPr>
        <w:pStyle w:val="1"/>
        <w:tabs>
          <w:tab w:val="clear" w:pos="708"/>
          <w:tab w:val="left" w:pos="0" w:leader="none"/>
        </w:tabs>
        <w:ind w:firstLine="680"/>
        <w:jc w:val="both"/>
        <w:rPr>
          <w:color w:val="auto"/>
        </w:rPr>
      </w:pPr>
      <w:r>
        <w:rPr>
          <w:color w:val="000000"/>
          <w:sz w:val="28"/>
          <w:szCs w:val="28"/>
          <w:shd w:fill="auto" w:val="clear"/>
        </w:rPr>
        <w:t>8. При отсутствии документов, подтверждающих право пользования мерами поддержки, установленных  пунктом 2 настоящего Порядка, орган (организация)  Вилючинского городского округа запрашивает сведения  в порядке межведомственного взаимодействия.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9. При подаче заявления через Единый портал формирование заявления осуществляется посредством заполнения  интерактивной формы. К заявлению прикрепляются электронные образы документов, указанных в пункте 7 настоящего Порядка. Дополнительная подача заявления в иной форме не требуется.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10. Заявление регистрируется в день поступления в дошкольную образовательную организацию Вилючинского городского округа (при личной подаче или через МФЦ) либо в день автоматической фиксации системой (при подаче через Единый портал). Факт регистрации подтверждается выдачей расписки (при личной подаче) либо электронным уведомлением (при подаче в электронной форме).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11. Срок рассмотрения заявления составляет 1 рабочий день с даты регистрации. По результатам рассмотрения дошкольная образовательная организация Вилючинского городского округа издаёт приказ о предоставлении меры поддержки либо направляет заявителю мотивированное уведомление об отказе.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12. Основания для отказа в предоставлении мер поддержки являются: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  <w:shd w:fill="auto" w:val="clear"/>
        </w:rPr>
        <w:tab/>
        <w:t xml:space="preserve">1) отчисление ребёнка из общеобразовательной организации; 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sz w:val="28"/>
          <w:szCs w:val="28"/>
        </w:rPr>
        <w:tab/>
        <w:t>2) подача родителем (законным представителем)  письменного заявления об отказе о получении мер поддержки.</w:t>
      </w:r>
      <w:r>
        <w:rPr/>
        <w:t xml:space="preserve"> 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eastAsia="Times New Roman" w:cs="Times New Roman"/>
          <w:color w:val="333333"/>
          <w:sz w:val="28"/>
          <w:szCs w:val="28"/>
          <w:shd w:fill="auto" w:val="clear"/>
        </w:rPr>
        <w:tab/>
        <w:t xml:space="preserve"> </w:t>
      </w:r>
    </w:p>
    <w:p>
      <w:pPr>
        <w:pStyle w:val="1"/>
        <w:tabs>
          <w:tab w:val="clear" w:pos="708"/>
          <w:tab w:val="left" w:pos="120" w:leader="none"/>
        </w:tabs>
        <w:spacing w:lineRule="auto" w:line="264"/>
        <w:ind w:hanging="0" w:left="57"/>
        <w:jc w:val="both"/>
        <w:rPr/>
      </w:pPr>
      <w:r>
        <w:rPr/>
      </w:r>
    </w:p>
    <w:p>
      <w:pPr>
        <w:pStyle w:val="1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7" w:gutter="0" w:header="0" w:top="850" w:footer="0" w:bottom="68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Open Sans">
    <w:charset w:val="01"/>
    <w:family w:val="roman"/>
    <w:pitch w:val="default"/>
  </w:font>
  <w:font w:name="Tempora LGC Uni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198"/>
      <w:contextualSpacing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</w:rPr>
  </w:style>
  <w:style w:type="character" w:styleId="3">
    <w:name w:val="Основной текст 3 Знак"/>
    <w:basedOn w:val="DefaultParagraphFont"/>
    <w:link w:val="BodyText3"/>
    <w:qFormat/>
    <w:rPr>
      <w:sz w:val="28"/>
      <w:szCs w:val="28"/>
    </w:rPr>
  </w:style>
  <w:style w:type="character" w:styleId="2">
    <w:name w:val="Основной текст 2 Знак"/>
    <w:basedOn w:val="DefaultParagraphFont"/>
    <w:link w:val="BodyText2"/>
    <w:qFormat/>
    <w:rPr>
      <w:rFonts w:ascii="Calibri" w:hAnsi="Calibri"/>
      <w:sz w:val="22"/>
      <w:szCs w:val="22"/>
    </w:rPr>
  </w:style>
  <w:style w:type="character" w:styleId="Style15">
    <w:name w:val="Обычный (веб) Знак"/>
    <w:link w:val="NormalWeb"/>
    <w:qFormat/>
    <w:rPr>
      <w:sz w:val="24"/>
      <w:szCs w:val="24"/>
    </w:rPr>
  </w:style>
  <w:style w:type="character" w:styleId="21">
    <w:name w:val="Основной текст (2)_"/>
    <w:basedOn w:val="DefaultParagraphFont"/>
    <w:link w:val="22"/>
    <w:qFormat/>
    <w:rPr>
      <w:rFonts w:ascii="Arial" w:hAnsi="Arial" w:eastAsia="Arial" w:cs="Arial"/>
      <w:i/>
      <w:iCs/>
      <w:sz w:val="114"/>
      <w:szCs w:val="114"/>
    </w:rPr>
  </w:style>
  <w:style w:type="character" w:styleId="Style16">
    <w:name w:val="Основной текст_"/>
    <w:basedOn w:val="DefaultParagraphFont"/>
    <w:link w:val="1"/>
    <w:qFormat/>
    <w:rPr>
      <w:sz w:val="26"/>
      <w:szCs w:val="2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before="0" w:after="140"/>
      <w:contextualSpacing w:val="false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Tahoma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qFormat/>
    <w:pPr>
      <w:spacing w:lineRule="auto" w:line="240" w:before="0" w:after="0"/>
      <w:contextualSpacing w:val="false"/>
    </w:pPr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3"/>
    <w:qFormat/>
    <w:pPr>
      <w:spacing w:lineRule="auto" w:line="240" w:before="0" w:after="0"/>
      <w:ind w:right="4680"/>
      <w:contextualSpacing w:val="false"/>
    </w:pPr>
    <w:rPr>
      <w:rFonts w:ascii="Times New Roman" w:hAnsi="Times New Roman" w:eastAsia="Times New Roman" w:cs="Times New Roman"/>
      <w:sz w:val="28"/>
      <w:szCs w:val="28"/>
    </w:rPr>
  </w:style>
  <w:style w:type="paragraph" w:styleId="BodyText2">
    <w:name w:val="Body Text 2"/>
    <w:basedOn w:val="Normal"/>
    <w:link w:val="2"/>
    <w:qFormat/>
    <w:pPr>
      <w:spacing w:lineRule="auto" w:line="480" w:before="0" w:after="120"/>
      <w:contextualSpacing w:val="false"/>
    </w:pPr>
    <w:rPr>
      <w:rFonts w:ascii="Calibri" w:hAnsi="Calibri" w:eastAsia="Times New Roman" w:cs="Times New Roman"/>
    </w:rPr>
  </w:style>
  <w:style w:type="paragraph" w:styleId="NormalWeb">
    <w:name w:val="Normal (Web)"/>
    <w:basedOn w:val="Normal"/>
    <w:link w:val="Style15"/>
    <w:qFormat/>
    <w:pPr>
      <w:spacing w:lineRule="auto" w:line="240" w:before="280" w:after="280"/>
      <w:contextualSpacing w:val="false"/>
    </w:pPr>
    <w:rPr>
      <w:rFonts w:ascii="Times New Roman" w:hAnsi="Times New Roman" w:eastAsia="Times New Roman" w:cs="Times New Roman"/>
      <w:sz w:val="24"/>
      <w:szCs w:val="24"/>
    </w:rPr>
  </w:style>
  <w:style w:type="paragraph" w:styleId="22">
    <w:name w:val="Основной текст (2)"/>
    <w:basedOn w:val="Normal"/>
    <w:link w:val="21"/>
    <w:qFormat/>
    <w:pPr>
      <w:widowControl w:val="false"/>
      <w:spacing w:lineRule="auto" w:line="240" w:before="0" w:after="0"/>
      <w:ind w:firstLine="740"/>
      <w:contextualSpacing w:val="false"/>
    </w:pPr>
    <w:rPr>
      <w:rFonts w:ascii="Arial" w:hAnsi="Arial" w:eastAsia="Arial" w:cs="Arial"/>
      <w:i/>
      <w:iCs/>
      <w:sz w:val="114"/>
      <w:szCs w:val="114"/>
    </w:rPr>
  </w:style>
  <w:style w:type="paragraph" w:styleId="1">
    <w:name w:val="Основной текст1"/>
    <w:basedOn w:val="Normal"/>
    <w:link w:val="Style16"/>
    <w:qFormat/>
    <w:pPr>
      <w:widowControl w:val="false"/>
      <w:spacing w:lineRule="auto" w:line="259" w:before="0" w:after="0"/>
      <w:ind w:firstLine="400"/>
      <w:contextualSpacing w:val="false"/>
    </w:pPr>
    <w:rPr>
      <w:rFonts w:ascii="Times New Roman" w:hAnsi="Times New Roman" w:eastAsia="Times New Roman" w:cs="Times New Roman"/>
      <w:sz w:val="26"/>
      <w:szCs w:val="2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Application>LibreOffice/7.6.7.2$Linux_X86_64 LibreOffice_project/60$Build-2</Application>
  <AppVersion>15.0000</AppVersion>
  <Pages>5</Pages>
  <Words>946</Words>
  <Characters>7009</Characters>
  <CharactersWithSpaces>8072</CharactersWithSpaces>
  <Paragraphs>54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2022-01-30T21:37:00Z</dcterms:created>
  <dc:creator>1</dc:creator>
  <dc:description/>
  <dc:language>ru-RU</dc:language>
  <cp:lastModifiedBy/>
  <cp:lastPrinted>2026-06-18T09:06:55Z</cp:lastPrinted>
  <dcterms:modified xsi:type="dcterms:W3CDTF">2026-09-15T17:34:33Z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