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smallCaps/>
          <w:sz w:val="28"/>
          <w:szCs w:val="24"/>
          <w:lang w:eastAsia="ru-RU"/>
        </w:rPr>
        <w:t>Администрация Вилючинского городского округа</w:t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smallCaps/>
          <w:sz w:val="28"/>
          <w:szCs w:val="24"/>
          <w:lang w:eastAsia="ru-RU"/>
        </w:rPr>
        <w:t>закрытого административно – территориального образования</w:t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smallCaps/>
          <w:sz w:val="28"/>
          <w:szCs w:val="24"/>
          <w:lang w:eastAsia="ru-RU"/>
        </w:rPr>
        <w:t>города Вилючинска Камчатского края</w:t>
      </w:r>
    </w:p>
    <w:p>
      <w:pPr>
        <w:pStyle w:val="Normal"/>
        <w:spacing w:lineRule="auto" w:line="240" w:before="0" w:after="0"/>
        <w:rPr>
          <w:rFonts w:ascii="Tempora LGC Uni" w:hAnsi="Tempora LGC Uni" w:eastAsia="Times New Roman" w:cs="Times New Roman"/>
          <w:spacing w:val="200"/>
          <w:sz w:val="28"/>
          <w:szCs w:val="24"/>
          <w:lang w:eastAsia="ru-RU"/>
        </w:rPr>
      </w:pPr>
      <w:r>
        <w:rPr>
          <w:rFonts w:eastAsia="Times New Roman" w:cs="Times New Roman" w:ascii="Tempora LGC Uni" w:hAnsi="Tempora LGC Uni"/>
          <w:spacing w:val="200"/>
          <w:sz w:val="28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b/>
          <w:spacing w:val="200"/>
          <w:sz w:val="40"/>
          <w:szCs w:val="24"/>
          <w:lang w:eastAsia="ru-RU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empora LGC Uni" w:hAnsi="Tempora LGC Uni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empora LGC Uni" w:hAnsi="Tempora LGC Uni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07.09.2026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empora LGC Uni" w:hAnsi="Tempora LGC Uni"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№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761</w:t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sz w:val="24"/>
          <w:szCs w:val="24"/>
          <w:lang w:eastAsia="ru-RU"/>
        </w:rPr>
        <w:t>г. Вилючинск</w:t>
      </w:r>
    </w:p>
    <w:p>
      <w:pPr>
        <w:pStyle w:val="Normal"/>
        <w:spacing w:lineRule="auto" w:line="240" w:before="0" w:after="0"/>
        <w:jc w:val="center"/>
        <w:rPr>
          <w:rFonts w:ascii="Tempora LGC Uni" w:hAnsi="Tempora LGC Uni" w:eastAsia="Times New Roman" w:cs="Times New Roman"/>
          <w:b/>
          <w:sz w:val="28"/>
          <w:szCs w:val="24"/>
          <w:lang w:eastAsia="ru-RU"/>
        </w:rPr>
      </w:pPr>
      <w:r>
        <w:rPr>
          <w:rFonts w:eastAsia="Times New Roman" w:cs="Times New Roman" w:ascii="Tempora LGC Uni" w:hAnsi="Tempora LGC Uni"/>
          <w:b/>
          <w:sz w:val="28"/>
          <w:szCs w:val="24"/>
          <w:lang w:eastAsia="ru-RU"/>
        </w:rPr>
      </w:r>
    </w:p>
    <w:p>
      <w:pPr>
        <w:pStyle w:val="Normal"/>
        <w:spacing w:lineRule="auto" w:line="240" w:before="0" w:after="0"/>
        <w:ind w:right="3554"/>
        <w:jc w:val="both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sz w:val="28"/>
          <w:szCs w:val="24"/>
          <w:lang w:eastAsia="ru-RU"/>
        </w:rPr>
        <w:t xml:space="preserve">О принятии в казну объектов </w:t>
      </w:r>
    </w:p>
    <w:p>
      <w:pPr>
        <w:pStyle w:val="Normal"/>
        <w:spacing w:lineRule="auto" w:line="240" w:before="0" w:after="0"/>
        <w:ind w:right="3554"/>
        <w:jc w:val="both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sz w:val="28"/>
          <w:szCs w:val="24"/>
          <w:lang w:eastAsia="ru-RU"/>
        </w:rPr>
        <w:t xml:space="preserve">движимого имущества </w:t>
      </w:r>
      <w:r>
        <w:rPr>
          <w:rFonts w:eastAsia="Times New Roman" w:cs="Times New Roman" w:ascii="Tempora LGC Uni" w:hAnsi="Tempora LGC Uni"/>
          <w:sz w:val="28"/>
          <w:szCs w:val="28"/>
          <w:lang w:eastAsia="ru-RU"/>
        </w:rPr>
        <w:t xml:space="preserve">и </w:t>
      </w:r>
    </w:p>
    <w:p>
      <w:pPr>
        <w:pStyle w:val="Normal"/>
        <w:spacing w:lineRule="auto" w:line="240" w:before="0" w:after="0"/>
        <w:ind w:right="3554"/>
        <w:jc w:val="both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sz w:val="28"/>
          <w:szCs w:val="28"/>
          <w:lang w:eastAsia="ru-RU"/>
        </w:rPr>
        <w:t xml:space="preserve">заключении дополнительного </w:t>
      </w:r>
    </w:p>
    <w:p>
      <w:pPr>
        <w:pStyle w:val="Normal"/>
        <w:spacing w:lineRule="auto" w:line="240" w:before="0" w:after="0"/>
        <w:ind w:right="3554"/>
        <w:jc w:val="both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sz w:val="28"/>
          <w:szCs w:val="28"/>
          <w:lang w:eastAsia="ru-RU"/>
        </w:rPr>
        <w:t xml:space="preserve">соглашения к Концессионному </w:t>
      </w:r>
    </w:p>
    <w:p>
      <w:pPr>
        <w:pStyle w:val="Normal"/>
        <w:spacing w:lineRule="auto" w:line="240" w:before="0" w:after="0"/>
        <w:ind w:right="3554"/>
        <w:jc w:val="both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sz w:val="28"/>
          <w:szCs w:val="28"/>
          <w:lang w:eastAsia="ru-RU"/>
        </w:rPr>
        <w:t>соглашению в отношении объектов</w:t>
      </w:r>
    </w:p>
    <w:p>
      <w:pPr>
        <w:pStyle w:val="Normal"/>
        <w:spacing w:lineRule="auto" w:line="240" w:before="0" w:after="0"/>
        <w:ind w:right="3554"/>
        <w:jc w:val="both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sz w:val="28"/>
          <w:szCs w:val="28"/>
          <w:lang w:eastAsia="ru-RU"/>
        </w:rPr>
        <w:t>теплоснабжения от 25.12.2018</w:t>
      </w:r>
    </w:p>
    <w:p>
      <w:pPr>
        <w:pStyle w:val="Normal"/>
        <w:spacing w:lineRule="auto" w:line="240" w:before="0" w:after="0"/>
        <w:ind w:right="3554"/>
        <w:jc w:val="both"/>
        <w:rPr>
          <w:rFonts w:ascii="Tempora LGC Uni" w:hAnsi="Tempora LGC Uni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empora LGC Uni" w:hAnsi="Tempora LGC Uni"/>
          <w:sz w:val="28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empora LGC Uni" w:hAnsi="Tempora LGC Uni" w:eastAsia="Times New Roman" w:cs="Times New Roman"/>
          <w:sz w:val="16"/>
          <w:szCs w:val="24"/>
          <w:lang w:eastAsia="ru-RU"/>
        </w:rPr>
      </w:pPr>
      <w:r>
        <w:rPr>
          <w:rFonts w:eastAsia="Times New Roman" w:cs="Times New Roman" w:ascii="Tempora LGC Uni" w:hAnsi="Tempora LGC Uni"/>
          <w:sz w:val="16"/>
          <w:szCs w:val="24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overflowPunct w:val="false"/>
        <w:spacing w:lineRule="auto" w:line="240" w:before="0" w:after="0"/>
        <w:ind w:firstLine="708" w:left="0"/>
        <w:jc w:val="both"/>
        <w:textAlignment w:val="baseline"/>
        <w:outlineLvl w:val="0"/>
        <w:rPr>
          <w:rFonts w:ascii="Tempora LGC Uni" w:hAnsi="Tempora LGC Uni"/>
          <w:sz w:val="28"/>
          <w:szCs w:val="28"/>
        </w:rPr>
      </w:pPr>
      <w:r>
        <w:rPr>
          <w:rFonts w:eastAsia="Times New Roman" w:cs="Times New Roman" w:ascii="Tempora LGC Uni" w:hAnsi="Tempora LGC Uni"/>
          <w:bCs/>
          <w:sz w:val="28"/>
          <w:szCs w:val="28"/>
          <w:lang w:eastAsia="ru-RU"/>
        </w:rPr>
        <w:t xml:space="preserve">Руководствуясь Федеральным законом от 20.03.2025 № 33-ФЗ «Об общих принципах организации местного самоуправления в единой системе публичной власти», частью 4 статьи 20 Федерального закона от 21.07.2005 № 115-ФЗ «О концессионных соглашениях», статьёй 16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24.04.2014 № 368 «Об утверждении правил предоставления антимонопольным органам согласия на изменение условий концессионного соглашения», Уставом Вилючинского городского округа, Порядком управления и распоряжения имуществом, находящимся в муниципальной собственности Вилючинского городского округа закрытого административно-территориального образования города Вилючинска Камчатского края, утвержденным решением Думы Вилючинского городского округа от 30.10.2014 № 304/64-5, на основании Концессионного соглашения в отношении объектов теплоснабжения от 25.12.2018, договоров поставки от 18.04.2023 № 59/2023, от 19.05.2023 № 202/НВла1/486-2023 и акта приёма-передачи от 31.07.2026, </w:t>
      </w:r>
    </w:p>
    <w:p>
      <w:pPr>
        <w:pStyle w:val="Normal"/>
        <w:spacing w:lineRule="auto" w:line="240" w:before="0" w:after="0"/>
        <w:rPr>
          <w:rFonts w:ascii="Tempora LGC Uni" w:hAnsi="Tempora LGC Uni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empora LGC Uni" w:hAnsi="Tempora LGC Uni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empora LGC Uni" w:hAnsi="Tempora LGC Uni"/>
          <w:sz w:val="28"/>
          <w:szCs w:val="28"/>
        </w:rPr>
      </w:pPr>
      <w:r>
        <w:rPr>
          <w:rFonts w:eastAsia="Times New Roman" w:cs="Times New Roman" w:ascii="Tempora LGC Uni" w:hAnsi="Tempora LGC Uni"/>
          <w:b/>
          <w:sz w:val="28"/>
          <w:szCs w:val="28"/>
          <w:lang w:eastAsia="ru-RU"/>
        </w:rPr>
        <w:t>ПОСТАНОВЛЯЮ:</w:t>
      </w:r>
    </w:p>
    <w:p>
      <w:pPr>
        <w:pStyle w:val="Normal"/>
        <w:spacing w:lineRule="auto" w:line="240" w:before="0" w:after="0"/>
        <w:ind w:firstLine="851"/>
        <w:jc w:val="both"/>
        <w:rPr>
          <w:rFonts w:ascii="Tempora LGC Uni" w:hAnsi="Tempora LGC Uni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empora LGC Uni" w:hAnsi="Tempora LGC Uni"/>
          <w:b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1"/>
        </w:numPr>
        <w:tabs>
          <w:tab w:val="clear" w:pos="643"/>
          <w:tab w:val="left" w:pos="1134" w:leader="none"/>
        </w:tabs>
        <w:suppressAutoHyphens w:val="true"/>
        <w:spacing w:lineRule="auto" w:line="240" w:before="0" w:after="0"/>
        <w:ind w:firstLine="709" w:left="0"/>
        <w:jc w:val="both"/>
        <w:rPr>
          <w:rFonts w:ascii="Tempora LGC Uni" w:hAnsi="Tempora LGC Uni"/>
          <w:sz w:val="28"/>
          <w:szCs w:val="28"/>
        </w:rPr>
      </w:pPr>
      <w:r>
        <w:rPr>
          <w:rFonts w:eastAsia="Times New Roman" w:ascii="Tempora LGC Uni" w:hAnsi="Tempora LGC Uni"/>
          <w:sz w:val="28"/>
          <w:szCs w:val="28"/>
          <w:lang w:eastAsia="ru-RU"/>
        </w:rPr>
        <w:t>Принять в казну Вилючинского городского округа</w:t>
      </w:r>
      <w:r>
        <w:rPr>
          <w:rFonts w:eastAsia="Times New Roman" w:cs="Times New Roman" w:ascii="Tempora LGC Uni" w:hAnsi="Tempora LGC Uni"/>
          <w:sz w:val="28"/>
          <w:szCs w:val="28"/>
          <w:lang w:eastAsia="ru-RU"/>
        </w:rPr>
        <w:t xml:space="preserve"> объекты движимого имущества с 31.07.2026, согласно перечню в соответствии с приложением к настоящему постановлению.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643"/>
          <w:tab w:val="left" w:pos="1134" w:leader="none"/>
        </w:tabs>
        <w:suppressAutoHyphens w:val="true"/>
        <w:spacing w:lineRule="auto" w:line="240" w:before="0" w:after="0"/>
        <w:ind w:firstLine="709" w:left="0"/>
        <w:jc w:val="both"/>
        <w:rPr>
          <w:rFonts w:ascii="Tempora LGC Uni" w:hAnsi="Tempora LGC Uni"/>
          <w:sz w:val="28"/>
          <w:szCs w:val="28"/>
        </w:rPr>
      </w:pPr>
      <w:r>
        <w:rPr>
          <w:rFonts w:eastAsia="Times New Roman" w:cs="Times New Roman" w:ascii="Tempora LGC Uni" w:hAnsi="Tempora LGC Uni"/>
          <w:sz w:val="28"/>
          <w:szCs w:val="28"/>
          <w:lang w:eastAsia="ru-RU"/>
        </w:rPr>
        <w:t>Включить в реестр муниципального имущества Вилючинского городского округа объекты движимого имущества, указанные в пункте 1 настоящего постановления.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spacing w:lineRule="auto" w:line="240" w:before="0" w:after="0"/>
        <w:ind w:firstLine="794" w:left="-57" w:right="0"/>
        <w:jc w:val="both"/>
        <w:rPr>
          <w:rFonts w:ascii="Times New Roman" w:hAnsi="Times New Roman" w:eastAsia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Заключить дополнительное соглашение к Концессионному соглашению в отношении объектов теплоснабжения от 25.12.2018 в отношении движимого имущества, указанного в пункте 1 настоящего постановления.</w:t>
      </w:r>
    </w:p>
    <w:p>
      <w:pPr>
        <w:pStyle w:val="Normal"/>
        <w:widowControl/>
        <w:numPr>
          <w:ilvl w:val="0"/>
          <w:numId w:val="1"/>
        </w:numPr>
        <w:tabs>
          <w:tab w:val="clear" w:pos="643"/>
          <w:tab w:val="left" w:pos="1017" w:leader="none"/>
        </w:tabs>
        <w:suppressAutoHyphens w:val="true"/>
        <w:bidi w:val="0"/>
        <w:spacing w:lineRule="auto" w:line="240" w:before="0" w:after="0"/>
        <w:ind w:firstLine="737" w:left="0" w:right="0"/>
        <w:jc w:val="both"/>
        <w:rPr>
          <w:sz w:val="28"/>
          <w:szCs w:val="28"/>
        </w:rPr>
      </w:pPr>
      <w:bookmarkStart w:id="0" w:name="sub_2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</w:t>
      </w:r>
      <w:bookmarkEnd w:id="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иректору муниципального казенного учреждения «Ресурсно-информационный центр» Вилючинского городского округа опубликовать настоящее постановление в периодическом печатном издании «Вилючинская газета. Официальные известия Вилючинского городского округа ЗАТО г. Вилючинска Камчатского края» и разместить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firstLine="737" w:left="0" w:right="0"/>
        <w:jc w:val="both"/>
        <w:outlineLvl w:val="2"/>
        <w:rPr>
          <w:rFonts w:ascii="Tempora LGC Uni" w:hAnsi="Tempora LGC Uni"/>
          <w:sz w:val="28"/>
          <w:szCs w:val="28"/>
        </w:rPr>
      </w:pPr>
      <w:r>
        <w:rPr>
          <w:rFonts w:eastAsia="Times New Roman" w:cs="Times New Roman" w:ascii="Tempora LGC Uni" w:hAnsi="Tempora LGC Uni"/>
          <w:sz w:val="28"/>
          <w:szCs w:val="28"/>
          <w:lang w:eastAsia="ru-RU"/>
        </w:rPr>
        <w:t>5. Контроль за исполнением настоящего постановления возложить на заместителя главы администрации Вилючинского городского округа, председателя комитета по управлению муниципальным имуществом администрации Вилючинского городского округа Л.А. Тяпкину</w:t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Times New Roman"/>
          <w:b/>
          <w:bCs/>
          <w:spacing w:val="-1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pacing w:val="-1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eastAsia="Times New Roman" w:cs="Times New Roman"/>
          <w:b/>
          <w:bCs/>
          <w:spacing w:val="-1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pacing w:val="-1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b/>
          <w:bCs/>
          <w:spacing w:val="-1"/>
          <w:sz w:val="28"/>
          <w:szCs w:val="28"/>
          <w:lang w:eastAsia="ru-RU"/>
        </w:rPr>
        <w:t xml:space="preserve">Глава </w:t>
      </w:r>
      <w:r>
        <w:rPr>
          <w:rFonts w:eastAsia="Times New Roman" w:cs="Times New Roman" w:ascii="Tempora LGC Uni" w:hAnsi="Tempora LGC Uni"/>
          <w:b/>
          <w:bCs/>
          <w:spacing w:val="-3"/>
          <w:sz w:val="28"/>
          <w:szCs w:val="28"/>
          <w:lang w:eastAsia="ru-RU"/>
        </w:rPr>
        <w:t>Вилючинского</w:t>
      </w:r>
    </w:p>
    <w:p>
      <w:pPr>
        <w:pStyle w:val="Normal"/>
        <w:shd w:val="clear" w:color="auto" w:fill="FFFFFF"/>
        <w:spacing w:lineRule="auto" w:line="240" w:before="0" w:after="0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b/>
          <w:bCs/>
          <w:spacing w:val="-3"/>
          <w:sz w:val="28"/>
          <w:szCs w:val="28"/>
          <w:lang w:eastAsia="ru-RU"/>
        </w:rPr>
        <w:t>городского округа</w:t>
      </w:r>
      <w:r>
        <w:rPr>
          <w:rFonts w:eastAsia="Times New Roman" w:cs="Times New Roman" w:ascii="Tempora LGC Uni" w:hAnsi="Tempora LGC Uni"/>
          <w:b/>
          <w:bCs/>
          <w:sz w:val="28"/>
          <w:szCs w:val="28"/>
          <w:lang w:eastAsia="ru-RU"/>
        </w:rPr>
        <w:t xml:space="preserve">                                                                          О.С. Бондаренко</w:t>
      </w:r>
      <w:r>
        <w:br w:type="page"/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2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sz w:val="28"/>
          <w:szCs w:val="24"/>
          <w:lang w:eastAsia="ru-RU"/>
        </w:rPr>
        <w:t>Приложение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2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sz w:val="28"/>
          <w:szCs w:val="24"/>
          <w:lang w:eastAsia="ru-RU"/>
        </w:rPr>
        <w:t>к постановлению администрации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2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sz w:val="28"/>
          <w:szCs w:val="24"/>
          <w:lang w:eastAsia="ru-RU"/>
        </w:rPr>
        <w:t>Вилючинского городского округа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2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sz w:val="28"/>
          <w:szCs w:val="24"/>
          <w:lang w:eastAsia="ru-RU"/>
        </w:rPr>
        <w:t>от _____________№_________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2"/>
        <w:rPr>
          <w:rFonts w:ascii="Tempora LGC Uni" w:hAnsi="Tempora LGC Uni" w:eastAsia="Times New Roman" w:cs="Times New Roman"/>
          <w:b/>
          <w:sz w:val="28"/>
          <w:szCs w:val="24"/>
          <w:lang w:eastAsia="ru-RU"/>
        </w:rPr>
      </w:pPr>
      <w:r>
        <w:rPr>
          <w:rFonts w:eastAsia="Times New Roman" w:cs="Times New Roman" w:ascii="Tempora LGC Uni" w:hAnsi="Tempora LGC Uni"/>
          <w:b/>
          <w:sz w:val="28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2"/>
        <w:rPr>
          <w:rFonts w:ascii="Tempora LGC Uni" w:hAnsi="Tempora LGC Uni" w:eastAsia="Times New Roman" w:cs="Times New Roman"/>
          <w:b/>
          <w:sz w:val="28"/>
          <w:szCs w:val="24"/>
          <w:lang w:eastAsia="ru-RU"/>
        </w:rPr>
      </w:pPr>
      <w:r>
        <w:rPr>
          <w:rFonts w:eastAsia="Times New Roman" w:cs="Times New Roman" w:ascii="Tempora LGC Uni" w:hAnsi="Tempora LGC Uni"/>
          <w:b/>
          <w:sz w:val="28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2"/>
        <w:rPr>
          <w:rFonts w:ascii="Tempora LGC Uni" w:hAnsi="Tempora LGC Uni"/>
        </w:rPr>
      </w:pPr>
      <w:r>
        <w:rPr>
          <w:rFonts w:eastAsia="Times New Roman" w:cs="Times New Roman" w:ascii="Tempora LGC Uni" w:hAnsi="Tempora LGC Uni"/>
          <w:b/>
          <w:sz w:val="28"/>
          <w:szCs w:val="24"/>
          <w:lang w:eastAsia="ru-RU"/>
        </w:rPr>
        <w:t>Перечень объектов движимого имущества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both"/>
        <w:outlineLvl w:val="2"/>
        <w:rPr>
          <w:rFonts w:ascii="Tempora LGC Uni" w:hAnsi="Tempora LGC Uni" w:eastAsia="Times New Roman" w:cs="Times New Roman"/>
          <w:b/>
          <w:sz w:val="28"/>
          <w:szCs w:val="24"/>
          <w:lang w:eastAsia="ru-RU"/>
        </w:rPr>
      </w:pPr>
      <w:r>
        <w:rPr>
          <w:rFonts w:eastAsia="Times New Roman" w:cs="Times New Roman" w:ascii="Tempora LGC Uni" w:hAnsi="Tempora LGC Uni"/>
          <w:b/>
          <w:sz w:val="28"/>
          <w:szCs w:val="24"/>
          <w:lang w:eastAsia="ru-RU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9"/>
        <w:gridCol w:w="4200"/>
        <w:gridCol w:w="957"/>
        <w:gridCol w:w="1824"/>
        <w:gridCol w:w="1928"/>
      </w:tblGrid>
      <w:tr>
        <w:trPr/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 xml:space="preserve">№ </w:t>
            </w:r>
            <w:r>
              <w:rPr>
                <w:rFonts w:ascii="Times New Roman" w:hAnsi="Times New Roman"/>
                <w:b w:val="false"/>
                <w:bCs w:val="false"/>
              </w:rPr>
              <w:t>п/п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Наименование  и характеристика оборудования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Количество (шт.,м.)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Стоимость</w:t>
            </w:r>
          </w:p>
          <w:p>
            <w:pPr>
              <w:pStyle w:val="Style16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(руб.) с НДС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</w:rPr>
              <w:t>Местонахождение имущества</w:t>
            </w:r>
          </w:p>
        </w:tc>
      </w:tr>
      <w:tr>
        <w:trPr/>
        <w:tc>
          <w:tcPr>
            <w:tcW w:w="7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Дизельная электростанция MOTOR АД 50-Т400. Серийный номер: 20230433 Мощность: 50 кВт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шт.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606 600,00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Вилючинск ул. Вилкова д.5</w:t>
            </w:r>
          </w:p>
        </w:tc>
      </w:tr>
      <w:tr>
        <w:trPr/>
        <w:tc>
          <w:tcPr>
            <w:tcW w:w="7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Дизельная электростанция MOTOR АД 100-Т400. Серийный номер: 20230434 Мощность: 100 кВт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шт.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838 200,00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Вилючинск ул. Вилкова д.5</w:t>
            </w:r>
          </w:p>
        </w:tc>
      </w:tr>
      <w:tr>
        <w:trPr/>
        <w:tc>
          <w:tcPr>
            <w:tcW w:w="7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Дизельная электростанция MOTOR АД 150-Т400. Серийный номер: 20230435 Мощность: 150 кВт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шт.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965 400,00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Вилючинск ул. Вилкова д.5</w:t>
            </w:r>
          </w:p>
        </w:tc>
      </w:tr>
      <w:tr>
        <w:trPr/>
        <w:tc>
          <w:tcPr>
            <w:tcW w:w="7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Дизельная электростанция MOTOR АД 500-Т400. Серийный номер: 20230436 Мощность: 500 кВт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шт.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2 852 000,00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Вилючинск ул. Вилкова д.5</w:t>
            </w:r>
          </w:p>
        </w:tc>
      </w:tr>
      <w:tr>
        <w:trPr/>
        <w:tc>
          <w:tcPr>
            <w:tcW w:w="7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Кабель АВВГ 4*95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 м.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31 789,56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Вилючинск</w:t>
            </w:r>
          </w:p>
        </w:tc>
      </w:tr>
      <w:tr>
        <w:trPr/>
        <w:tc>
          <w:tcPr>
            <w:tcW w:w="7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Кабель АВВГ 4*185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М</w:t>
            </w:r>
          </w:p>
        </w:tc>
        <w:tc>
          <w:tcPr>
            <w:tcW w:w="18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62 100,00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Вилючинск</w:t>
            </w:r>
          </w:p>
        </w:tc>
      </w:tr>
    </w:tbl>
    <w:p>
      <w:pPr>
        <w:pStyle w:val="ListParagraph"/>
        <w:numPr>
          <w:ilvl w:val="0"/>
          <w:numId w:val="0"/>
        </w:numPr>
        <w:tabs>
          <w:tab w:val="clear" w:pos="643"/>
          <w:tab w:val="left" w:pos="993" w:leader="none"/>
        </w:tabs>
        <w:spacing w:lineRule="auto" w:line="240" w:before="0" w:after="0"/>
        <w:ind w:hanging="0" w:left="0"/>
        <w:contextualSpacing/>
        <w:jc w:val="both"/>
        <w:outlineLvl w:val="2"/>
        <w:rPr/>
      </w:pPr>
      <w:r>
        <w:rPr/>
      </w:r>
    </w:p>
    <w:p>
      <w:pPr>
        <w:pStyle w:val="ListParagraph"/>
        <w:numPr>
          <w:ilvl w:val="0"/>
          <w:numId w:val="0"/>
        </w:numPr>
        <w:tabs>
          <w:tab w:val="clear" w:pos="643"/>
          <w:tab w:val="left" w:pos="851" w:leader="none"/>
          <w:tab w:val="left" w:pos="993" w:leader="none"/>
        </w:tabs>
        <w:spacing w:lineRule="auto" w:line="240" w:before="0" w:after="0"/>
        <w:ind w:hanging="0" w:left="0"/>
        <w:contextualSpacing/>
        <w:jc w:val="both"/>
        <w:outlineLvl w:val="2"/>
        <w:rPr>
          <w:rFonts w:ascii="Tempora LGC Uni" w:hAnsi="Tempora LGC Uni" w:eastAsia="Times New Roman" w:cs="Times New Roman"/>
          <w:sz w:val="28"/>
          <w:szCs w:val="24"/>
          <w:lang w:eastAsia="ru-RU"/>
        </w:rPr>
      </w:pPr>
      <w:r>
        <w:rPr>
          <w:rFonts w:ascii="Tempora LGC Uni" w:hAnsi="Tempora LGC Uni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roman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6739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84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16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20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24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28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32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36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643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c50bf"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9c50bf"/>
    <w:pPr>
      <w:spacing w:before="0" w:after="200"/>
      <w:ind w:left="720"/>
      <w:contextualSpacing/>
    </w:pPr>
    <w:rPr/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3e3b8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Application>LibreOffice/7.6.7.2$Linux_X86_64 LibreOffice_project/60$Build-2</Application>
  <AppVersion>15.0000</AppVersion>
  <Pages>3</Pages>
  <Words>435</Words>
  <Characters>3185</Characters>
  <CharactersWithSpaces>3756</CharactersWithSpaces>
  <Paragraphs>62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2020-07-20T21:28:00Z</dcterms:created>
  <dc:creator>Анастасия В. Романенко</dc:creator>
  <dc:description/>
  <dc:language>ru-RU</dc:language>
  <cp:lastModifiedBy/>
  <cp:lastPrinted>2026-09-02T16:26:36Z</cp:lastPrinted>
  <dcterms:modified xsi:type="dcterms:W3CDTF">2026-09-14T17:21:56Z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