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tbl>
      <w:tblPr>
        <w:tblW w:w="9804" w:type="dxa"/>
        <w:jc w:val="left"/>
        <w:tblInd w:w="-109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90"/>
        <w:gridCol w:w="4313"/>
      </w:tblGrid>
      <w:tr>
        <w:trPr>
          <w:trHeight w:val="1701" w:hRule="atLeast"/>
        </w:trPr>
        <w:tc>
          <w:tcPr>
            <w:tcW w:w="5490" w:type="dxa"/>
            <w:tcBorders/>
          </w:tcPr>
          <w:p>
            <w:pPr>
              <w:pStyle w:val="Normal"/>
              <w:snapToGrid w:val="false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4313" w:type="dxa"/>
            <w:tcBorders/>
          </w:tcPr>
          <w:p>
            <w:pPr>
              <w:pStyle w:val="Normal"/>
              <w:jc w:val="right"/>
              <w:rPr>
                <w:u w:val="none"/>
              </w:rPr>
            </w:pPr>
            <w:r>
              <w:rPr>
                <w:rFonts w:ascii="Times New Roman" w:hAnsi="Times New Roman"/>
                <w:sz w:val="28"/>
                <w:szCs w:val="28"/>
                <w:u w:val="none"/>
              </w:rPr>
              <w:t xml:space="preserve">Приложение </w:t>
            </w:r>
          </w:p>
          <w:p>
            <w:pPr>
              <w:pStyle w:val="Normal"/>
              <w:jc w:val="right"/>
              <w:rPr>
                <w:u w:val="none"/>
              </w:rPr>
            </w:pPr>
            <w:r>
              <w:rPr>
                <w:rFonts w:ascii="Times New Roman" w:hAnsi="Times New Roman"/>
                <w:sz w:val="28"/>
                <w:szCs w:val="28"/>
                <w:u w:val="none"/>
              </w:rPr>
              <w:t xml:space="preserve">к постановлению  администрации </w:t>
            </w:r>
          </w:p>
          <w:p>
            <w:pPr>
              <w:pStyle w:val="Normal"/>
              <w:jc w:val="left"/>
              <w:rPr>
                <w:u w:val="none"/>
              </w:rPr>
            </w:pPr>
            <w:r>
              <w:rPr>
                <w:rFonts w:ascii="Times New Roman" w:hAnsi="Times New Roman"/>
                <w:sz w:val="28"/>
                <w:szCs w:val="28"/>
                <w:u w:val="none"/>
              </w:rPr>
              <w:t>Вилючинского городского округа</w:t>
            </w:r>
          </w:p>
          <w:p>
            <w:pPr>
              <w:pStyle w:val="Normal"/>
              <w:jc w:val="left"/>
              <w:rPr>
                <w:u w:val="single"/>
              </w:rPr>
            </w:pPr>
            <w:r>
              <w:rPr>
                <w:rFonts w:ascii="Times New Roman" w:hAnsi="Times New Roman"/>
                <w:b w:val="false"/>
                <w:bCs w:val="false"/>
                <w:sz w:val="28"/>
                <w:szCs w:val="28"/>
                <w:u w:val="none"/>
              </w:rPr>
              <w:t xml:space="preserve">от </w:t>
            </w:r>
            <w:r>
              <w:rPr>
                <w:rFonts w:ascii="Times New Roman" w:hAnsi="Times New Roman"/>
                <w:b w:val="false"/>
                <w:bCs w:val="false"/>
                <w:sz w:val="28"/>
                <w:szCs w:val="28"/>
                <w:u w:val="single"/>
              </w:rPr>
              <w:t xml:space="preserve">                                  </w:t>
            </w:r>
            <w:r>
              <w:rPr>
                <w:rFonts w:ascii="Times New Roman" w:hAnsi="Times New Roman"/>
                <w:b w:val="false"/>
                <w:bCs w:val="false"/>
                <w:sz w:val="28"/>
                <w:szCs w:val="28"/>
                <w:u w:val="none"/>
              </w:rPr>
              <w:t xml:space="preserve">№ </w:t>
            </w:r>
            <w:r>
              <w:rPr>
                <w:rFonts w:ascii="Times New Roman" w:hAnsi="Times New Roman"/>
                <w:b w:val="false"/>
                <w:bCs w:val="false"/>
                <w:sz w:val="28"/>
                <w:szCs w:val="28"/>
                <w:u w:val="single"/>
              </w:rPr>
              <w:t xml:space="preserve">                 </w:t>
            </w:r>
          </w:p>
        </w:tc>
      </w:tr>
    </w:tbl>
    <w:p>
      <w:pPr>
        <w:pStyle w:val="Normal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</w:p>
    <w:p>
      <w:pPr>
        <w:pStyle w:val="Normal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ПОРЯДОК</w:t>
      </w:r>
    </w:p>
    <w:p>
      <w:pPr>
        <w:pStyle w:val="Normal"/>
        <w:jc w:val="center"/>
        <w:rPr/>
      </w:pPr>
      <w:r>
        <w:rPr>
          <w:rStyle w:val="Style14"/>
          <w:rFonts w:ascii="Times New Roman" w:hAnsi="Times New Roman"/>
          <w:b/>
          <w:bCs/>
          <w:sz w:val="28"/>
        </w:rPr>
        <w:t xml:space="preserve">предоставления субсидий на финансовое обеспечение затрат, связанных с выполнением наказов депутатов Законодательного собрания Камчатского края, за счёт средств бюджета Вилючинского городского округа  </w:t>
      </w:r>
      <w:r>
        <w:rPr>
          <w:rStyle w:val="Style14"/>
          <w:rFonts w:ascii="Times New Roman" w:hAnsi="Times New Roman"/>
          <w:b/>
          <w:bCs/>
          <w:sz w:val="28"/>
          <w:szCs w:val="28"/>
        </w:rPr>
        <w:t>для приобретения спортивной формы,  спортивного инвентаря и оплаты проезда несовершеннолетних спортсменов и тренера для участия в соревнованиях и тренировочных сборах за пределами Камчатского края автономной некоммерческой организации «Горняк-футбол» на 2026 год</w:t>
      </w:r>
    </w:p>
    <w:p>
      <w:pPr>
        <w:pStyle w:val="Normal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</w:p>
    <w:p>
      <w:pPr>
        <w:pStyle w:val="Normal"/>
        <w:numPr>
          <w:ilvl w:val="0"/>
          <w:numId w:val="18"/>
        </w:num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Общие положения</w:t>
      </w:r>
    </w:p>
    <w:p>
      <w:pPr>
        <w:pStyle w:val="Normal"/>
        <w:numPr>
          <w:ilvl w:val="0"/>
          <w:numId w:val="0"/>
        </w:numPr>
        <w:ind w:hanging="0" w:left="72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</w:p>
    <w:p>
      <w:pPr>
        <w:pStyle w:val="Normal"/>
        <w:numPr>
          <w:ilvl w:val="1"/>
          <w:numId w:val="19"/>
        </w:numPr>
        <w:tabs>
          <w:tab w:val="clear" w:pos="709"/>
        </w:tabs>
        <w:ind w:firstLine="720" w:left="0"/>
        <w:jc w:val="both"/>
        <w:rPr/>
      </w:pPr>
      <w:r>
        <w:rPr>
          <w:rStyle w:val="Style14"/>
          <w:rFonts w:ascii="Times New Roman" w:hAnsi="Times New Roman"/>
          <w:sz w:val="28"/>
          <w:szCs w:val="28"/>
        </w:rPr>
        <w:t>Настоящий Порядок разработан в соответствии с действующим законодательством Российской Федерации и Уставом Вилючинского городского округа с целью оказания финансовой помощи автономной некоммерческой организации «Горняк</w:t>
        <w:noBreakHyphen/>
        <w:t>футбол» на 2026 год для приобретения спортивной формы, спортивного инвентаря и оплаты проезда несовершеннолетних спортсменов и тренера к местам проведения соревнований и тренировочных сборов за пределами Камчатского края в рамках выполнения наказов депутатов Законодательного собрания Камчатского края за счёт средств местного бюджета.</w:t>
      </w:r>
    </w:p>
    <w:p>
      <w:pPr>
        <w:pStyle w:val="Normal"/>
        <w:numPr>
          <w:ilvl w:val="1"/>
          <w:numId w:val="20"/>
        </w:numPr>
        <w:tabs>
          <w:tab w:val="clear" w:pos="709"/>
        </w:tabs>
        <w:ind w:firstLine="709"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Порядок определяет цели, условия предоставления и возврат 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убсидии на финансовое обеспечение затрат, связанных с выполнением наказов депутатов Законодательного собрания Камчатского края, за счёт средств бюджета Вилючинского городского округа для приобретения спортивной формы, спортивного инвентаря и оплаты проезда несовершеннолетних спортсменов и тренера для участия в соревнованиях и тренировочных сборах за пределами Камчатского края (далее — Субсидия) в случае нарушения условий, установленных при её предоставлении.</w:t>
      </w:r>
    </w:p>
    <w:p>
      <w:pPr>
        <w:pStyle w:val="Normal"/>
        <w:numPr>
          <w:ilvl w:val="1"/>
          <w:numId w:val="21"/>
        </w:numPr>
        <w:tabs>
          <w:tab w:val="clear" w:pos="709"/>
        </w:tabs>
        <w:ind w:firstLine="709" w:left="0"/>
        <w:jc w:val="both"/>
        <w:rPr/>
      </w:pPr>
      <w:r>
        <w:rPr>
          <w:rStyle w:val="Style14"/>
          <w:rFonts w:ascii="Times New Roman" w:hAnsi="Times New Roman"/>
          <w:b w:val="false"/>
          <w:bCs w:val="false"/>
          <w:sz w:val="28"/>
          <w:szCs w:val="28"/>
        </w:rPr>
        <w:t>Целью расходов Субсидии в соответствии с муниципальной программой «Физическая культура, спорт, молодёжная политика, отдых и оздоровление детей в Вилючинском городском округе» является приобретение спортивной формы и спортивного инвентаря, а также оплата проезда несовершеннолетних спортсменов и тренера для участия в соревнованиях и тренировочных сборах за пределами Камчатского края.</w:t>
      </w:r>
    </w:p>
    <w:p>
      <w:pPr>
        <w:pStyle w:val="Normal"/>
        <w:numPr>
          <w:ilvl w:val="1"/>
          <w:numId w:val="22"/>
        </w:numPr>
        <w:tabs>
          <w:tab w:val="clear" w:pos="709"/>
        </w:tabs>
        <w:ind w:firstLine="709"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Предоставление 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убсидий на безвозмездной и безвозвратной основе осуществляет главный распорядитель средств местного бюджета — Управление социальной политики администрации Вилючинского городского округа (далее — Управление), которому в соответствии с бюджетным законодательством Российской Федерации как получателю бюджетных средств в установленном порядке доведены лимиты бюджетных обязательств на предоставление 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убсидий на соответствующий финансовый год.</w:t>
      </w:r>
    </w:p>
    <w:p>
      <w:pPr>
        <w:pStyle w:val="Normal"/>
        <w:numPr>
          <w:ilvl w:val="1"/>
          <w:numId w:val="23"/>
        </w:numPr>
        <w:tabs>
          <w:tab w:val="clear" w:pos="709"/>
        </w:tabs>
        <w:ind w:firstLine="709" w:left="0"/>
        <w:jc w:val="both"/>
        <w:rPr/>
      </w:pPr>
      <w:r>
        <w:rPr>
          <w:rStyle w:val="Style14"/>
          <w:rFonts w:ascii="Times New Roman" w:hAnsi="Times New Roman"/>
          <w:sz w:val="28"/>
          <w:szCs w:val="28"/>
        </w:rPr>
        <w:t xml:space="preserve">Получателем субсидии является </w:t>
      </w:r>
      <w:r>
        <w:rPr>
          <w:rStyle w:val="Style14"/>
          <w:rFonts w:ascii="Times New Roman" w:hAnsi="Times New Roman"/>
          <w:sz w:val="28"/>
          <w:szCs w:val="28"/>
        </w:rPr>
        <w:t>А</w:t>
      </w:r>
      <w:r>
        <w:rPr>
          <w:rStyle w:val="Style14"/>
          <w:rFonts w:ascii="Times New Roman" w:hAnsi="Times New Roman"/>
          <w:sz w:val="28"/>
          <w:szCs w:val="28"/>
        </w:rPr>
        <w:t>втономная некоммерческая организация «Горняк-футбол» (далее — Получатель) в соответствии с Решением Думы Вилючинского городского округа от 22.12.2025 № 31/7</w:t>
        <w:noBreakHyphen/>
        <w:t>8 «О местном бюджете на 2026 год и на плановый период 2027 и 2028 годов».</w:t>
      </w:r>
    </w:p>
    <w:p>
      <w:pPr>
        <w:pStyle w:val="Normal"/>
        <w:numPr>
          <w:ilvl w:val="1"/>
          <w:numId w:val="24"/>
        </w:numPr>
        <w:tabs>
          <w:tab w:val="clear" w:pos="709"/>
        </w:tabs>
        <w:ind w:firstLine="709" w:left="0"/>
        <w:jc w:val="both"/>
        <w:rPr/>
      </w:pPr>
      <w:r>
        <w:rPr>
          <w:rStyle w:val="Style14"/>
          <w:rFonts w:ascii="Times New Roman" w:hAnsi="Times New Roman"/>
          <w:sz w:val="28"/>
          <w:szCs w:val="28"/>
        </w:rPr>
        <w:t xml:space="preserve">Сведения о </w:t>
      </w:r>
      <w:r>
        <w:rPr>
          <w:rStyle w:val="Style14"/>
          <w:rFonts w:ascii="Times New Roman" w:hAnsi="Times New Roman"/>
          <w:sz w:val="28"/>
          <w:szCs w:val="28"/>
        </w:rPr>
        <w:t>С</w:t>
      </w:r>
      <w:r>
        <w:rPr>
          <w:rStyle w:val="Style14"/>
          <w:rFonts w:ascii="Times New Roman" w:hAnsi="Times New Roman"/>
          <w:sz w:val="28"/>
          <w:szCs w:val="28"/>
        </w:rPr>
        <w:t>убсидиях размещаются на едином портале бюджетной системы Российской Федерации в информационно</w:t>
        <w:noBreakHyphen/>
        <w:t>телекоммуникационной сети «Интернет» (далее — единый портал) в порядке, установленном Министерством финансов Российской Федерации.</w:t>
      </w:r>
    </w:p>
    <w:p>
      <w:pPr>
        <w:pStyle w:val="Normal"/>
        <w:numPr>
          <w:ilvl w:val="1"/>
          <w:numId w:val="25"/>
        </w:numPr>
        <w:tabs>
          <w:tab w:val="clear" w:pos="709"/>
        </w:tabs>
        <w:ind w:firstLine="709" w:left="0"/>
        <w:jc w:val="both"/>
        <w:rPr/>
      </w:pPr>
      <w:r>
        <w:rPr>
          <w:rStyle w:val="Style14"/>
          <w:rFonts w:ascii="Times New Roman" w:hAnsi="Times New Roman"/>
          <w:sz w:val="28"/>
          <w:szCs w:val="28"/>
        </w:rPr>
        <w:t>Субсидия предоставляется в форме финансового обеспечения затрат.</w:t>
      </w:r>
    </w:p>
    <w:p>
      <w:pPr>
        <w:pStyle w:val="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numPr>
          <w:ilvl w:val="0"/>
          <w:numId w:val="26"/>
        </w:numPr>
        <w:jc w:val="center"/>
        <w:rPr/>
      </w:pPr>
      <w:r>
        <w:rPr>
          <w:rStyle w:val="Style14"/>
          <w:rFonts w:ascii="Times New Roman" w:hAnsi="Times New Roman"/>
          <w:b/>
          <w:sz w:val="28"/>
          <w:szCs w:val="28"/>
        </w:rPr>
        <w:t xml:space="preserve">Условия и порядок предоставления </w:t>
      </w:r>
      <w:r>
        <w:rPr>
          <w:rStyle w:val="Style14"/>
          <w:rFonts w:ascii="Times New Roman" w:hAnsi="Times New Roman"/>
          <w:b/>
          <w:sz w:val="28"/>
          <w:szCs w:val="28"/>
        </w:rPr>
        <w:t>С</w:t>
      </w:r>
      <w:r>
        <w:rPr>
          <w:rStyle w:val="Style14"/>
          <w:rFonts w:ascii="Times New Roman" w:hAnsi="Times New Roman"/>
          <w:b/>
          <w:sz w:val="28"/>
          <w:szCs w:val="28"/>
        </w:rPr>
        <w:t>убсидии</w:t>
      </w:r>
    </w:p>
    <w:p>
      <w:pPr>
        <w:pStyle w:val="Normal"/>
        <w:numPr>
          <w:ilvl w:val="0"/>
          <w:numId w:val="0"/>
        </w:numPr>
        <w:ind w:hanging="0" w:left="720"/>
        <w:jc w:val="center"/>
        <w:rPr>
          <w:rStyle w:val="Style14"/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</w:p>
    <w:p>
      <w:pPr>
        <w:pStyle w:val="Normal"/>
        <w:numPr>
          <w:ilvl w:val="1"/>
          <w:numId w:val="27"/>
        </w:numPr>
        <w:tabs>
          <w:tab w:val="clear" w:pos="709"/>
        </w:tabs>
        <w:ind w:firstLine="720"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Основанием для предоставления 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убсидии являются следующие документы:</w:t>
      </w:r>
    </w:p>
    <w:p>
      <w:pPr>
        <w:pStyle w:val="Normal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заявление о предоставлении 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убсидии по форме согласно приложению № 1 к настоящему Порядку, подписанное руководителем Получателя субсидии (далее – Заявление);</w:t>
      </w:r>
    </w:p>
    <w:p>
      <w:pPr>
        <w:pStyle w:val="Normal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выписка из Единого государственного реестра юридических лиц по состоянию на дату, которая предшествует дате подачи Заявления не более чем на 30 дней;</w:t>
      </w:r>
    </w:p>
    <w:p>
      <w:pPr>
        <w:pStyle w:val="Normal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смета расходов, источником финансового обеспечения которых является 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убсидия;</w:t>
      </w:r>
    </w:p>
    <w:p>
      <w:pPr>
        <w:pStyle w:val="Normal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справка, подтверждающая, что Получатель субсидии соответствует требованиям, указанным в пункте 2.13 настоящего Порядка;</w:t>
      </w:r>
    </w:p>
    <w:p>
      <w:pPr>
        <w:pStyle w:val="Normal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согласие на публикацию (размещение) в сети «Интернет» информации о Получателе субсидии, о подаваемой Получателем субсидии заявке, а также на обработку персональных данных руководителя Получателя субсидии.</w:t>
      </w:r>
    </w:p>
    <w:p>
      <w:pPr>
        <w:pStyle w:val="Normal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Выписку из Единого государственного реестра юридических лиц Управление запрашивает самостоятельно в рамках межведомственного информационного взаимодействия. Получатель субсидии вправе предоставить выписку из Единого государственного реестра юридических лиц по собственной инициативе.</w:t>
      </w:r>
    </w:p>
    <w:p>
      <w:pPr>
        <w:pStyle w:val="Normal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2.2. </w:t>
      </w:r>
      <w:r>
        <w:rPr>
          <w:rFonts w:ascii="Times New Roman" w:hAnsi="Times New Roman"/>
          <w:sz w:val="28"/>
          <w:szCs w:val="28"/>
          <w:shd w:fill="auto" w:val="clear"/>
        </w:rPr>
        <w:t xml:space="preserve">Направлением расходов </w:t>
      </w:r>
      <w:r>
        <w:rPr>
          <w:rFonts w:ascii="Times New Roman" w:hAnsi="Times New Roman"/>
          <w:sz w:val="28"/>
          <w:szCs w:val="28"/>
          <w:shd w:fill="auto" w:val="clear"/>
        </w:rPr>
        <w:t>С</w:t>
      </w:r>
      <w:r>
        <w:rPr>
          <w:rFonts w:ascii="Times New Roman" w:hAnsi="Times New Roman"/>
          <w:sz w:val="28"/>
          <w:szCs w:val="28"/>
          <w:shd w:fill="auto" w:val="clear"/>
        </w:rPr>
        <w:t>убсидии являются: приобретение спортивной формы, приобретение спортивного инвентаря и оплата проезда несовершеннолетних спортсменов и тренера для участия в соревнованиях и тренировочных сборах за пределами Камчатского края.</w:t>
      </w:r>
    </w:p>
    <w:p>
      <w:pPr>
        <w:pStyle w:val="Normal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2.3. Управление рассматривает поступившие документы в течение 5 (пяти) рабочих дней со дня их регистрации. Управление осуществляет проверку достоверности сведений, представляемых Получателем субсидии, и принимает решение о предоставлении 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убсидии либо об отказе в её предоставлении. О принятом решении Получатель субсидии уведомляется в письменной форме в течение 3 (трёх) рабочих дней после завершения рассмотрения документов.</w:t>
      </w:r>
    </w:p>
    <w:p>
      <w:pPr>
        <w:pStyle w:val="Normal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2.4. Основанием для отказа в предоставлении 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убсидии являются:</w:t>
      </w:r>
    </w:p>
    <w:p>
      <w:pPr>
        <w:pStyle w:val="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несоответствие представленных Получателем субсидии документов требованиям, установленным настоящим Порядком, или непредставление (представление не в полном объёме) указанных документов;</w:t>
      </w:r>
    </w:p>
    <w:p>
      <w:pPr>
        <w:pStyle w:val="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установление факта недостоверности представленной Получателем субсидии информации.</w:t>
      </w:r>
    </w:p>
    <w:p>
      <w:pPr>
        <w:pStyle w:val="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2.5. Субсидия предоставляется за счёт средств бюджета Вилючинского городского округа. Размер Субсидии определён Решением Думы Вилючинского городского округа от 22.12.2025 № 31/7-8 «О местном бюджете на 2026 год и на плановый период 2027 и 2028 годов». Размер 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убсидии не может превышать размер утверждённых лимитов бюджетных обязательств на текущий финансовый год на данные цели.</w:t>
      </w:r>
    </w:p>
    <w:p>
      <w:pPr>
        <w:pStyle w:val="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2.6. Получатель 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убсидии, в отношении которого принято решение о предоставлении 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убсидии, в течение 5 (пяти) рабочих дней со дня принятия такого решения заключает с Управлением </w:t>
      </w:r>
      <w:r>
        <w:rPr>
          <w:rFonts w:ascii="Times New Roman" w:hAnsi="Times New Roman"/>
          <w:sz w:val="28"/>
          <w:szCs w:val="28"/>
          <w:shd w:fill="auto" w:val="clear"/>
        </w:rPr>
        <w:t>с</w:t>
      </w:r>
      <w:r>
        <w:rPr>
          <w:rFonts w:ascii="Times New Roman" w:hAnsi="Times New Roman"/>
          <w:sz w:val="28"/>
          <w:szCs w:val="28"/>
          <w:shd w:fill="auto" w:val="clear"/>
        </w:rPr>
        <w:t xml:space="preserve">оглашение </w:t>
      </w:r>
      <w:r>
        <w:rPr>
          <w:rFonts w:eastAsia="" w:cs="Times New Roman" w:ascii="Times New Roman" w:hAnsi="Times New Roman"/>
          <w:b w:val="false"/>
          <w:bCs w:val="false"/>
          <w:sz w:val="28"/>
          <w:szCs w:val="28"/>
          <w:shd w:fill="auto" w:val="clear"/>
          <w:lang w:eastAsia="ru-RU"/>
        </w:rPr>
        <w:t xml:space="preserve">о предоставлении из местного бюджета субсидий, </w:t>
      </w:r>
      <w:r>
        <w:rPr>
          <w:rFonts w:eastAsia="" w:cs="Times New Roman"/>
          <w:b w:val="false"/>
          <w:bCs w:val="false"/>
          <w:sz w:val="28"/>
          <w:szCs w:val="28"/>
          <w:shd w:fill="auto" w:val="clear"/>
          <w:lang w:eastAsia="ru-RU"/>
        </w:rPr>
        <w:t xml:space="preserve">в том числе грантов в форме субсидий, юридическим лицам, </w:t>
      </w:r>
      <w:r>
        <w:rPr>
          <w:rFonts w:eastAsia="" w:cs="Times New Roman" w:ascii="Times New Roman" w:hAnsi="Times New Roman"/>
          <w:b w:val="false"/>
          <w:bCs w:val="false"/>
          <w:sz w:val="28"/>
          <w:szCs w:val="28"/>
          <w:shd w:fill="auto" w:val="clear"/>
          <w:lang w:eastAsia="ru-RU"/>
        </w:rPr>
        <w:t>индивидуальным предпринимателям, некоммерческим организациям не являющимся муниципальным учреждением, а также физическим лицам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</w:rPr>
        <w:t xml:space="preserve"> </w:t>
      </w:r>
      <w:r>
        <w:rPr>
          <w:rFonts w:ascii="Times New Roman" w:hAnsi="Times New Roman"/>
          <w:b w:val="false"/>
          <w:bCs w:val="false"/>
          <w:sz w:val="28"/>
          <w:szCs w:val="28"/>
          <w:shd w:fill="auto" w:val="clear"/>
        </w:rPr>
        <w:t>(далее — Соглашение).</w:t>
      </w:r>
    </w:p>
    <w:p>
      <w:pPr>
        <w:pStyle w:val="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2.7. Соглашение, дополнительное соглашение к Соглашению, в том числе дополнительное соглашение о расторжении Соглашения заключа</w:t>
      </w:r>
      <w:r>
        <w:rPr>
          <w:rFonts w:ascii="Times New Roman" w:hAnsi="Times New Roman"/>
          <w:sz w:val="28"/>
          <w:szCs w:val="28"/>
        </w:rPr>
        <w:t>ю</w:t>
      </w:r>
      <w:r>
        <w:rPr>
          <w:rFonts w:ascii="Times New Roman" w:hAnsi="Times New Roman"/>
          <w:sz w:val="28"/>
          <w:szCs w:val="28"/>
        </w:rPr>
        <w:t>тся в соответствии с типовой формой, установленной приказом финансового управления администрации Вилючинского городского округа от 30.06.2023 № 55 (с изменениями) «Об утверждении типовой формы соглашения (договора) о предоставлении из местного бюджета субсидий, в том числе грантов в форме субсидий, юридическим лицам, индивидуальным предпринимателям, а также физическим лицам» (далее — Приказ № 55).</w:t>
      </w:r>
    </w:p>
    <w:p>
      <w:pPr>
        <w:pStyle w:val="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2.8. В Соглашении предусматриваются следующие условия:</w:t>
      </w:r>
    </w:p>
    <w:p>
      <w:pPr>
        <w:pStyle w:val="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целевое назначение и размер Субсидии;</w:t>
      </w:r>
    </w:p>
    <w:p>
      <w:pPr>
        <w:pStyle w:val="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-порядок и сроки предоставления отчетности об использовании Субсидии;</w:t>
      </w:r>
    </w:p>
    <w:p>
      <w:pPr>
        <w:pStyle w:val="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порядок и сроки возврата Получателем субсидии средств Субсидии в случае выявления факта ее нецелевого использования;</w:t>
      </w:r>
    </w:p>
    <w:p>
      <w:pPr>
        <w:pStyle w:val="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порядок и срок возврата неиспользованных в текущем финансовом году средств Субсидии;</w:t>
      </w:r>
    </w:p>
    <w:p>
      <w:pPr>
        <w:pStyle w:val="Normal"/>
        <w:ind w:firstLine="709"/>
        <w:jc w:val="both"/>
        <w:rPr/>
      </w:pPr>
      <w:r>
        <w:rPr>
          <w:rStyle w:val="Style14"/>
          <w:rFonts w:ascii="Times New Roman" w:hAnsi="Times New Roman"/>
          <w:sz w:val="28"/>
          <w:szCs w:val="28"/>
        </w:rPr>
        <w:t>- запрет приобретения Получателем субсидии, а также иными юридическими лицами на основании договоров, заключенных с Получателем субсидии, иностранной валюты за счет полученных средств, за исключением операций, осуществляемых в соответствии с валютным законодательством Российской Федерации при закупке (поставке) высокотехнологичного импортного оборудования, сырья и комплектующих изделий, а также связанных с достижением результатов предоставления этих средств иных операций, определенных настоящим Порядком;</w:t>
      </w:r>
    </w:p>
    <w:p>
      <w:pPr>
        <w:pStyle w:val="Normal"/>
        <w:ind w:firstLine="709"/>
        <w:jc w:val="both"/>
        <w:rPr/>
      </w:pPr>
      <w:r>
        <w:rPr>
          <w:rStyle w:val="Style14"/>
          <w:rFonts w:ascii="Times New Roman" w:hAnsi="Times New Roman"/>
          <w:sz w:val="28"/>
          <w:szCs w:val="28"/>
        </w:rPr>
        <w:t xml:space="preserve">- согласие Получателя субсидии, лиц, получающих средства на основании договоров, заключённых с </w:t>
      </w:r>
      <w:r>
        <w:rPr>
          <w:rStyle w:val="Style14"/>
          <w:rFonts w:ascii="Times New Roman" w:hAnsi="Times New Roman"/>
          <w:sz w:val="28"/>
          <w:szCs w:val="28"/>
        </w:rPr>
        <w:t>П</w:t>
      </w:r>
      <w:r>
        <w:rPr>
          <w:rStyle w:val="Style14"/>
          <w:rFonts w:ascii="Times New Roman" w:hAnsi="Times New Roman"/>
          <w:sz w:val="28"/>
          <w:szCs w:val="28"/>
        </w:rPr>
        <w:t xml:space="preserve">олучателем субсидии (за исключением государственных (муниципальных) унитарных предприятий, хозяйственных товариществ и обществ с участием публично-правовых образований в их уставных (складочных) капиталах, коммерческих организаций с участием таких товариществ и обществ в их уставных (складочных) капиталах), на осуществление Управлением в отношении их проверки  на соблюдение порядка и условий предоставления субсидии, в том числе в части достижения результатов предоставления </w:t>
      </w:r>
      <w:r>
        <w:rPr>
          <w:rStyle w:val="Style14"/>
          <w:rFonts w:ascii="Times New Roman" w:hAnsi="Times New Roman"/>
          <w:sz w:val="28"/>
          <w:szCs w:val="28"/>
        </w:rPr>
        <w:t>С</w:t>
      </w:r>
      <w:r>
        <w:rPr>
          <w:rStyle w:val="Style14"/>
          <w:rFonts w:ascii="Times New Roman" w:hAnsi="Times New Roman"/>
          <w:sz w:val="28"/>
          <w:szCs w:val="28"/>
        </w:rPr>
        <w:t>убсидии, а также проверки органами муниципального финансового контроля в соответствии со статьями 268.1 и 269.2 Бюджетного кодекса Российской Федерации, и на включение таких положений в Соглашение;</w:t>
      </w:r>
    </w:p>
    <w:p>
      <w:pPr>
        <w:pStyle w:val="Normal"/>
        <w:ind w:firstLine="709"/>
        <w:jc w:val="both"/>
        <w:rPr/>
      </w:pPr>
      <w:r>
        <w:rPr>
          <w:rStyle w:val="Style14"/>
          <w:rFonts w:ascii="Times New Roman" w:hAnsi="Times New Roman"/>
          <w:sz w:val="28"/>
          <w:szCs w:val="28"/>
        </w:rPr>
        <w:t>-  результаты предоставления Субсидии:</w:t>
      </w:r>
      <w:r>
        <w:rPr>
          <w:rStyle w:val="Style14"/>
          <w:rFonts w:ascii="Times New Roman" w:hAnsi="Times New Roman"/>
          <w:sz w:val="28"/>
        </w:rPr>
        <w:t xml:space="preserve"> приобретение спортивной формы, спортивного инвентаря и оплата проезда несовершеннолетних спортсменов и тренера для участия в соревнованиях и тренировочных сборах за пределами Камчатского края</w:t>
      </w:r>
      <w:r>
        <w:rPr>
          <w:rStyle w:val="Style14"/>
          <w:rFonts w:ascii="Times New Roman" w:hAnsi="Times New Roman"/>
          <w:sz w:val="28"/>
          <w:szCs w:val="28"/>
        </w:rPr>
        <w:t>;</w:t>
      </w:r>
    </w:p>
    <w:p>
      <w:pPr>
        <w:pStyle w:val="Normal"/>
        <w:ind w:firstLine="709"/>
        <w:jc w:val="both"/>
        <w:rPr/>
      </w:pPr>
      <w:r>
        <w:rPr>
          <w:rStyle w:val="Style14"/>
          <w:rFonts w:ascii="Times New Roman" w:hAnsi="Times New Roman"/>
          <w:sz w:val="28"/>
        </w:rPr>
        <w:t xml:space="preserve">- показатели, необходимые для достижения результатов предоставления Субсидии: </w:t>
      </w:r>
      <w:r>
        <w:rPr>
          <w:rStyle w:val="Style14"/>
          <w:rFonts w:ascii="Times New Roman" w:hAnsi="Times New Roman"/>
          <w:b w:val="false"/>
          <w:bCs w:val="false"/>
          <w:sz w:val="28"/>
          <w:szCs w:val="28"/>
        </w:rPr>
        <w:t>приобретение спортивной формы, спортивного инвентаря и оплата проезда несовершеннолетних спортсменов и тренера для участия в соревнованиях и тренировочных сборах за пределами Камчатского края</w:t>
      </w:r>
      <w:r>
        <w:rPr>
          <w:rStyle w:val="Style14"/>
          <w:rFonts w:ascii="Times New Roman" w:hAnsi="Times New Roman"/>
          <w:sz w:val="28"/>
        </w:rPr>
        <w:t>;</w:t>
      </w:r>
    </w:p>
    <w:p>
      <w:pPr>
        <w:pStyle w:val="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в случае уменьшения главному распорядителю как получателю бюджетных средств ранее доведённых лимитов бюджетных обязательств, приводящих к невозможности предоставления 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убсидии в размере, определённом в Соглашении, заключается дополнительное соглашение к Соглашению о согласовании новых условий Соглашения или дополнительное соглашение о расторжении Соглашения при недостижении согласия по новым условиям</w:t>
      </w:r>
    </w:p>
    <w:p>
      <w:pPr>
        <w:pStyle w:val="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2.9. Субсидия перечисляется Управлением на расчётный счёт Получателя субсидии, открытый в кредитной организации, в пределах доведённых объёмов финансирования, в соответствии с условиями и в срок, определёнными Соглашением.</w:t>
      </w:r>
    </w:p>
    <w:p>
      <w:pPr>
        <w:pStyle w:val="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2.10. Получатель субсидии после зачисления средств на расчётный счёт обязан в срок, установленный Соглашением, представить в Управление сведения о достигнутых результатах предоставления 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убсидии, под которыми понимаются количество приобретённой спортивной формы и спортивного инвентаря, а также оплата проезда несовершеннолетних спортсменов и тренера для участия в соревнованиях и тренировочных сборах за пределами Камчатского края. Кроме того, необходимо предоставить заверенные копии платёжных поручений, договоров, актов выполненных работ и иных документов (при необходимости), подтверждающих расходование средств по направлениям расходов, указанным в п. 2.2 настоящего Порядка.</w:t>
      </w:r>
    </w:p>
    <w:p>
      <w:pPr>
        <w:pStyle w:val="Normal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  <w:t>2.11. При реорганизации Получателя субсидии, являющегося юридическим лицом, в форме слияния, присоединения или преобразования в Соглашение вносятся изменения путём заключения дополнительного соглашения к Соглашению в части перемены лица в обязательстве с указанием в Соглашении юридического лица, являющегося правопреемником.</w:t>
      </w:r>
    </w:p>
    <w:p>
      <w:pPr>
        <w:pStyle w:val="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2.12. При реорганизации Получателя субсидии, являющегося юридическим лицом, в форме разделения, выделения, а также при ликвидации </w:t>
      </w:r>
      <w:r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 xml:space="preserve">олучателя субсидии, являющегося юридическим лицом, Соглашение расторгается с формированием уведомления о расторжении соглашения в одностороннем порядке и акта об исполнении обязательств по соглашению с отражением информации о неисполненных </w:t>
      </w:r>
      <w:r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 xml:space="preserve">олучателем субсидии обязательствах, источником финансового обеспечения которых является 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убсидия, и возврате неиспользованного остатка 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убсидии в бюджет Вилючинского городского округа.</w:t>
      </w:r>
    </w:p>
    <w:p>
      <w:pPr>
        <w:pStyle w:val="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2.13. Требования, которым должен соответствовать Получатель субсидии на первое число месяца, предшествующего месяцу, в котором планируется заключение Соглашения:</w:t>
      </w:r>
    </w:p>
    <w:p>
      <w:pPr>
        <w:pStyle w:val="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Получатель субсидии не должен получать средства из бюджета Вилючинского городского округа на цели, указанные в пункте 1.3 Порядка, в соответствии с иными нормативными правовыми актами Вилючинского городского округа;</w:t>
      </w:r>
    </w:p>
    <w:p>
      <w:pPr>
        <w:pStyle w:val="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у Получателя субсидии должна отсутствовать или не превышать размер, определённый п. 3 ст. 47 Налогового кодекса Российской Федерации, задолженность по уплате налогов, сборов и страховых взносов в бюджеты бюджетной системы Российской Федерации, а также отсутствовать просроченная задолженность по возврату в бюджет Вилючинского городского округа 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убсидий, бюджетных инвестиций, представленных в том числе в соответствии с иными правовыми актами, а также иная просроченная (неурегулированная) задолженность по денежным обязательствам перед бюджетом Вилючинского городского округа;</w:t>
      </w:r>
    </w:p>
    <w:p>
      <w:pPr>
        <w:pStyle w:val="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Получатель субсидии не должен находиться в процессе реорганизации (за исключением реорганизации в форме присоединения к юридическому лицу, являющемуся </w:t>
      </w:r>
      <w:r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олучателем субсидии), ликвидации, в отношении него не введена процедура банкротства, деятельность Получателя субсидии не приостановлена в порядке, предусмотренном законодательством Российской Федерации;</w:t>
      </w:r>
    </w:p>
    <w:p>
      <w:pPr>
        <w:pStyle w:val="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 реестре дисквалифицированных лиц отсутствуют сведения о дисквалифицированных руководителе или главном бухгалтере Получателя субсидии;</w:t>
      </w:r>
    </w:p>
    <w:p>
      <w:pPr>
        <w:pStyle w:val="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Получатель субсидии не должен являться иностранным юридическим лицом, в том числе таким, местом регистрации которого является государство или территория, включённая в утверждаемый Министерством финансов Российской Федерации перечень государств и территорий, используемых для промежуточного (офшорного) владения активами в Российской Федерации (далее — офшорные компании), а также российским юридическим лицом, в уставном (складочном) капитале которого доля прямого или косвенного (через третьих лиц) участия офшорных компаний в совокупности превышает 25 процентов (если иное не предусмотрено законодательством Российской Федерации).</w:t>
      </w:r>
    </w:p>
    <w:p>
      <w:pPr>
        <w:pStyle w:val="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Получатель субсидии не является иностранным агентом в соответствии с Федеральным законом от 14.07.2022 № 255-ФЗ «О контроле за деятельностью лиц, находящихся под иностранным влиянием»;</w:t>
      </w:r>
    </w:p>
    <w:p>
      <w:pPr>
        <w:pStyle w:val="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Получатель субсидии не должен находиться в перечне организаций и физических лиц, в отношении которых имеются сведения об их причастности к экстремистской деятельности или терроризму, либо в перечне организаций и физических лиц, в отношении которых имеются сведения об их причастности к распространению оружия массового уничтожения;</w:t>
      </w:r>
    </w:p>
    <w:p>
      <w:pPr>
        <w:pStyle w:val="Normal"/>
        <w:ind w:firstLine="709"/>
        <w:jc w:val="both"/>
        <w:rPr/>
      </w:pPr>
      <w:r>
        <w:rPr>
          <w:rStyle w:val="Style14"/>
          <w:rFonts w:ascii="Times New Roman" w:hAnsi="Times New Roman"/>
          <w:sz w:val="28"/>
          <w:szCs w:val="28"/>
        </w:rPr>
        <w:t xml:space="preserve">- Получатель субсидии не находится в составляемых в рамках реализации полномочий, предусмотренных главой </w:t>
      </w:r>
      <w:r>
        <w:rPr>
          <w:rStyle w:val="Style14"/>
          <w:rFonts w:ascii="Times New Roman" w:hAnsi="Times New Roman"/>
          <w:sz w:val="28"/>
          <w:szCs w:val="28"/>
          <w:lang w:val="en-US"/>
        </w:rPr>
        <w:t>VII</w:t>
      </w:r>
      <w:r>
        <w:rPr>
          <w:rStyle w:val="Style14"/>
          <w:rFonts w:ascii="Times New Roman" w:hAnsi="Times New Roman"/>
          <w:sz w:val="28"/>
          <w:szCs w:val="28"/>
        </w:rPr>
        <w:t xml:space="preserve"> Устава ООН, Советом Безопасности ООН и органами, специально созданными решениями Совета Безопасности ООН, перечнях организаций, связанных с террористическими организациями и террористами или распространением оружия массового поражения.</w:t>
      </w:r>
    </w:p>
    <w:p>
      <w:pPr>
        <w:pStyle w:val="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целях проверки </w:t>
      </w:r>
      <w:r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 xml:space="preserve">олучателя 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убсидии Управление получает соответствующие сведения из Единого государственного реестра юридических лиц, осуществляет сверку данных на официальном сайте Федеральной налоговой службы Российской Федерации (в разделе «Поиск сведений в реестре дисквалифицированных лиц») и на официальном сайте Росфинмониторинга (в разделе «Перечень организаций и физических лиц, в отношении которых имеются сведения об их причастности к экстремистской деятельности или терроризму»), а также запрашивает сведения о наличии просроченной задолженности перед бюджетом Вилючинского городского округа.</w:t>
      </w:r>
    </w:p>
    <w:p>
      <w:pPr>
        <w:pStyle w:val="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numPr>
          <w:ilvl w:val="0"/>
          <w:numId w:val="28"/>
        </w:num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Требования к отчетности</w:t>
      </w:r>
    </w:p>
    <w:p>
      <w:pPr>
        <w:pStyle w:val="Normal"/>
        <w:numPr>
          <w:ilvl w:val="0"/>
          <w:numId w:val="0"/>
        </w:numPr>
        <w:ind w:hanging="0" w:left="72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</w:p>
    <w:p>
      <w:pPr>
        <w:pStyle w:val="Normal"/>
        <w:jc w:val="both"/>
        <w:rPr>
          <w:rFonts w:ascii="Times New Roman" w:hAnsi="Times New Roman"/>
          <w:sz w:val="28"/>
          <w:szCs w:val="28"/>
        </w:rPr>
      </w:pPr>
      <w:r>
        <w:rPr>
          <w:rStyle w:val="Style14"/>
          <w:rFonts w:ascii="Times New Roman" w:hAnsi="Times New Roman"/>
          <w:sz w:val="28"/>
          <w:szCs w:val="28"/>
        </w:rPr>
        <w:tab/>
        <w:t>3.1. Получатель субсидии предоставляет в Управление:</w:t>
      </w:r>
    </w:p>
    <w:p>
      <w:pPr>
        <w:pStyle w:val="Normal"/>
        <w:jc w:val="both"/>
        <w:rPr>
          <w:rFonts w:ascii="Times New Roman" w:hAnsi="Times New Roman"/>
          <w:sz w:val="28"/>
          <w:szCs w:val="28"/>
        </w:rPr>
      </w:pPr>
      <w:r>
        <w:rPr>
          <w:rStyle w:val="Style14"/>
          <w:rFonts w:ascii="Times New Roman" w:hAnsi="Times New Roman"/>
          <w:sz w:val="28"/>
          <w:szCs w:val="28"/>
        </w:rPr>
        <w:tab/>
        <w:t xml:space="preserve">- отчёт об осуществлении расходов, источником финансового обеспечения которых является </w:t>
      </w:r>
      <w:r>
        <w:rPr>
          <w:rStyle w:val="Style14"/>
          <w:rFonts w:ascii="Times New Roman" w:hAnsi="Times New Roman"/>
          <w:sz w:val="28"/>
          <w:szCs w:val="28"/>
        </w:rPr>
        <w:t>С</w:t>
      </w:r>
      <w:r>
        <w:rPr>
          <w:rStyle w:val="Style14"/>
          <w:rFonts w:ascii="Times New Roman" w:hAnsi="Times New Roman"/>
          <w:sz w:val="28"/>
          <w:szCs w:val="28"/>
        </w:rPr>
        <w:t>убсидия, — по форме, определённой приказом № 55, ежеквартально, в срок до 1</w:t>
        <w:noBreakHyphen/>
        <w:t>го числа месяца, следующего за отчётным периодом, до момента окончательного использования Получателем субсидии, но не позднее 1 декабря 2026 года;</w:t>
      </w:r>
    </w:p>
    <w:p>
      <w:pPr>
        <w:pStyle w:val="Normal"/>
        <w:jc w:val="both"/>
        <w:rPr>
          <w:rFonts w:ascii="Times New Roman" w:hAnsi="Times New Roman"/>
          <w:sz w:val="28"/>
          <w:szCs w:val="28"/>
        </w:rPr>
      </w:pPr>
      <w:r>
        <w:rPr>
          <w:rStyle w:val="Style14"/>
          <w:rFonts w:ascii="Times New Roman" w:hAnsi="Times New Roman"/>
          <w:sz w:val="28"/>
          <w:szCs w:val="28"/>
        </w:rPr>
        <w:tab/>
        <w:t xml:space="preserve">-отчёт о достигнутых значениях результата предоставления </w:t>
      </w:r>
      <w:r>
        <w:rPr>
          <w:rStyle w:val="Style14"/>
          <w:rFonts w:ascii="Times New Roman" w:hAnsi="Times New Roman"/>
          <w:sz w:val="28"/>
          <w:szCs w:val="28"/>
        </w:rPr>
        <w:t>С</w:t>
      </w:r>
      <w:r>
        <w:rPr>
          <w:rStyle w:val="Style14"/>
          <w:rFonts w:ascii="Times New Roman" w:hAnsi="Times New Roman"/>
          <w:sz w:val="28"/>
          <w:szCs w:val="28"/>
        </w:rPr>
        <w:t>убсидии — по форме, определённой приказом № 55, ежеквартально, в срок до 1</w:t>
        <w:noBreakHyphen/>
        <w:t xml:space="preserve">го числа месяца, следующего за отчётным периодом, до момента окончательного использования </w:t>
      </w:r>
      <w:r>
        <w:rPr>
          <w:rStyle w:val="Style14"/>
          <w:rFonts w:ascii="Times New Roman" w:hAnsi="Times New Roman"/>
          <w:sz w:val="28"/>
          <w:szCs w:val="28"/>
        </w:rPr>
        <w:t>С</w:t>
      </w:r>
      <w:r>
        <w:rPr>
          <w:rStyle w:val="Style14"/>
          <w:rFonts w:ascii="Times New Roman" w:hAnsi="Times New Roman"/>
          <w:sz w:val="28"/>
          <w:szCs w:val="28"/>
        </w:rPr>
        <w:t>убсидии, но не позднее 1 декабря 2026 года.</w:t>
      </w:r>
    </w:p>
    <w:p>
      <w:pPr>
        <w:pStyle w:val="Normal"/>
        <w:ind w:firstLine="720"/>
        <w:jc w:val="both"/>
        <w:rPr/>
      </w:pPr>
      <w:r>
        <w:rPr>
          <w:rStyle w:val="Style14"/>
          <w:rFonts w:ascii="Times New Roman" w:hAnsi="Times New Roman"/>
          <w:sz w:val="28"/>
          <w:szCs w:val="28"/>
        </w:rPr>
        <w:t>3.2. Управление осуществляет проверку отчётов, устанавливает полноту и достоверность сведений, содержащихся в отчётах, прилагаемых к ним документах и материалах, в течение 10 рабочих дней со дня их получения.</w:t>
      </w:r>
    </w:p>
    <w:p>
      <w:pPr>
        <w:pStyle w:val="Normal"/>
        <w:ind w:firstLine="720"/>
        <w:jc w:val="both"/>
        <w:rPr/>
      </w:pPr>
      <w:r>
        <w:rPr>
          <w:rStyle w:val="Style14"/>
          <w:rFonts w:ascii="Times New Roman" w:hAnsi="Times New Roman"/>
          <w:sz w:val="28"/>
          <w:szCs w:val="28"/>
        </w:rPr>
        <w:t>Отчёты, указанные в пункте 3.1 настоящего Порядка, считаются принятыми после направления Получателю субсидии уведомления, подписанного руководителем Управления или уполномоченным им лицом, — посредством почтового отправления, электронной связи либо нарочно.</w:t>
      </w:r>
    </w:p>
    <w:p>
      <w:pPr>
        <w:pStyle w:val="Normal"/>
        <w:ind w:firstLine="709"/>
        <w:jc w:val="both"/>
        <w:rPr/>
      </w:pPr>
      <w:r>
        <w:rPr>
          <w:rStyle w:val="Style14"/>
          <w:rFonts w:ascii="Times New Roman" w:hAnsi="Times New Roman"/>
          <w:sz w:val="28"/>
        </w:rPr>
        <w:t>Отчёты, указанные в пункте 3.1 настоящего Порядка, считаются непринятыми после направления Получателю субсидии уведомления, подписанного руководителем Управления (или уполномоченным им лицом), посредством почтового отправления, электронной связи либо нарочным.</w:t>
      </w:r>
    </w:p>
    <w:p>
      <w:pPr>
        <w:pStyle w:val="Normal"/>
        <w:ind w:firstLine="709"/>
        <w:jc w:val="both"/>
        <w:rPr/>
      </w:pPr>
      <w:r>
        <w:rPr>
          <w:rStyle w:val="Style14"/>
          <w:rFonts w:ascii="Times New Roman" w:hAnsi="Times New Roman"/>
          <w:sz w:val="28"/>
          <w:szCs w:val="28"/>
        </w:rPr>
        <w:t>Основания для признания отчётов непринятыми:</w:t>
      </w:r>
    </w:p>
    <w:p>
      <w:pPr>
        <w:pStyle w:val="Normal"/>
        <w:numPr>
          <w:ilvl w:val="0"/>
          <w:numId w:val="2"/>
        </w:numPr>
        <w:ind w:firstLine="709"/>
        <w:jc w:val="both"/>
        <w:rPr/>
      </w:pPr>
      <w:r>
        <w:rPr>
          <w:rStyle w:val="Style14"/>
          <w:rFonts w:ascii="Times New Roman" w:hAnsi="Times New Roman"/>
          <w:sz w:val="28"/>
          <w:szCs w:val="28"/>
        </w:rPr>
        <w:t>непредставление либо представление не в полном объёме отчётов, указанных в пункте 3.1 настоящего Порядка;</w:t>
      </w:r>
    </w:p>
    <w:p>
      <w:pPr>
        <w:pStyle w:val="Normal"/>
        <w:numPr>
          <w:ilvl w:val="0"/>
          <w:numId w:val="2"/>
        </w:numPr>
        <w:ind w:firstLine="709"/>
        <w:jc w:val="both"/>
        <w:rPr/>
      </w:pPr>
      <w:r>
        <w:rPr>
          <w:rStyle w:val="Style14"/>
          <w:rFonts w:ascii="Times New Roman" w:hAnsi="Times New Roman"/>
          <w:sz w:val="28"/>
          <w:szCs w:val="28"/>
        </w:rPr>
        <w:t>некорректное заполнение либо незаполнение Получателем субсидии всех обязательных для заполнения граф, предусмотренных в отчётах;</w:t>
      </w:r>
    </w:p>
    <w:p>
      <w:pPr>
        <w:pStyle w:val="Normal"/>
        <w:numPr>
          <w:ilvl w:val="0"/>
          <w:numId w:val="2"/>
        </w:numPr>
        <w:ind w:firstLine="709"/>
        <w:jc w:val="both"/>
        <w:rPr/>
      </w:pPr>
      <w:r>
        <w:rPr>
          <w:rStyle w:val="Style14"/>
          <w:rFonts w:ascii="Times New Roman" w:hAnsi="Times New Roman"/>
          <w:sz w:val="28"/>
          <w:szCs w:val="28"/>
        </w:rPr>
        <w:t>предоставление отчётов с нарушением сроков, указанных в пункте 3.1 настоящего Порядка.</w:t>
      </w:r>
    </w:p>
    <w:p>
      <w:pPr>
        <w:pStyle w:val="Normal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</w:p>
    <w:p>
      <w:pPr>
        <w:pStyle w:val="Normal"/>
        <w:numPr>
          <w:ilvl w:val="0"/>
          <w:numId w:val="29"/>
        </w:num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Требования к осуществлению контроля (мониторинга) за соблюдением условий и порядка предоставления </w:t>
      </w:r>
      <w:r>
        <w:rPr>
          <w:rFonts w:ascii="Times New Roman" w:hAnsi="Times New Roman"/>
          <w:b/>
          <w:sz w:val="28"/>
          <w:szCs w:val="28"/>
        </w:rPr>
        <w:t>С</w:t>
      </w:r>
      <w:r>
        <w:rPr>
          <w:rFonts w:ascii="Times New Roman" w:hAnsi="Times New Roman"/>
          <w:b/>
          <w:sz w:val="28"/>
          <w:szCs w:val="28"/>
        </w:rPr>
        <w:t>убсидии</w:t>
      </w:r>
    </w:p>
    <w:p>
      <w:pPr>
        <w:pStyle w:val="Normal"/>
        <w:tabs>
          <w:tab w:val="clear" w:pos="709"/>
        </w:tabs>
        <w:ind w:left="72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 ответственности за их нарушение</w:t>
      </w:r>
    </w:p>
    <w:p>
      <w:pPr>
        <w:pStyle w:val="Normal"/>
        <w:tabs>
          <w:tab w:val="clear" w:pos="709"/>
        </w:tabs>
        <w:ind w:left="72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</w:p>
    <w:p>
      <w:pPr>
        <w:pStyle w:val="Normal"/>
        <w:numPr>
          <w:ilvl w:val="1"/>
          <w:numId w:val="30"/>
        </w:numPr>
        <w:tabs>
          <w:tab w:val="clear" w:pos="709"/>
        </w:tabs>
        <w:ind w:firstLine="709" w:left="0"/>
        <w:jc w:val="both"/>
        <w:rPr/>
      </w:pPr>
      <w:r>
        <w:rPr>
          <w:rStyle w:val="Style14"/>
          <w:rFonts w:ascii="Times New Roman" w:hAnsi="Times New Roman"/>
          <w:sz w:val="28"/>
          <w:szCs w:val="28"/>
        </w:rPr>
        <w:t xml:space="preserve">Управление осуществляет проверку соблюдения Получателем субсидии порядка и условий её предоставления, в том числе в части достижения результатов предоставления </w:t>
      </w:r>
      <w:r>
        <w:rPr>
          <w:rStyle w:val="Style14"/>
          <w:rFonts w:ascii="Times New Roman" w:hAnsi="Times New Roman"/>
          <w:sz w:val="28"/>
          <w:szCs w:val="28"/>
        </w:rPr>
        <w:t>С</w:t>
      </w:r>
      <w:r>
        <w:rPr>
          <w:rStyle w:val="Style14"/>
          <w:rFonts w:ascii="Times New Roman" w:hAnsi="Times New Roman"/>
          <w:sz w:val="28"/>
          <w:szCs w:val="28"/>
        </w:rPr>
        <w:t>убсидии. Орган муниципального финансового контроля проводит проверку в соответствии со статьёй 268.1 Бюджетного кодекса Российской Федерации. В соответствии со статьёй 269.2 Бюджетного кодекса Российской Федерации проверку осуществляет уполномоченный сотрудник администрации Вилючинского городского округа.</w:t>
      </w:r>
    </w:p>
    <w:p>
      <w:pPr>
        <w:pStyle w:val="Normal"/>
        <w:numPr>
          <w:ilvl w:val="1"/>
          <w:numId w:val="31"/>
        </w:numPr>
        <w:tabs>
          <w:tab w:val="clear" w:pos="709"/>
        </w:tabs>
        <w:ind w:firstLine="709"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случае нарушения условий предоставления 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убсидии, недостижения установленных значений результата её использования либо нецелевого использования 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убсидии она подлежит возврату в местный бюджет в течение 10 (десяти) рабочих дней со дня выявления указанных нарушений.</w:t>
      </w:r>
    </w:p>
    <w:p>
      <w:pPr>
        <w:pStyle w:val="Normal"/>
        <w:numPr>
          <w:ilvl w:val="1"/>
          <w:numId w:val="32"/>
        </w:numPr>
        <w:tabs>
          <w:tab w:val="clear" w:pos="709"/>
        </w:tabs>
        <w:ind w:firstLine="709"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Остаток средств 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убсидии, не израсходованный в текущем финансовом году, подлежит обязательному возврату в местный бюджет не позднее 10 декабря текущего финансового года.</w:t>
      </w:r>
    </w:p>
    <w:p>
      <w:pPr>
        <w:pStyle w:val="Normal"/>
        <w:numPr>
          <w:ilvl w:val="1"/>
          <w:numId w:val="33"/>
        </w:numPr>
        <w:tabs>
          <w:tab w:val="clear" w:pos="709"/>
        </w:tabs>
        <w:ind w:firstLine="709"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случае нарушения </w:t>
      </w:r>
      <w:r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 xml:space="preserve">олучателем субсидии положений пунктов 4.2 и 4.3 раздела 4 настоящего Порядка взыскание 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убсидии в местный бюджет осуществляется в судебном порядке в соответствии с законодательством Российской Федерации.</w:t>
      </w:r>
    </w:p>
    <w:p>
      <w:pPr>
        <w:pStyle w:val="Normal"/>
        <w:numPr>
          <w:ilvl w:val="1"/>
          <w:numId w:val="34"/>
        </w:numPr>
        <w:tabs>
          <w:tab w:val="clear" w:pos="709"/>
        </w:tabs>
        <w:ind w:firstLine="709"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Управление проводит мониторинг достижения результатов предоставления 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убсидии на основании значений, установленных Соглашением о предоставлении 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убсидии, которые подтверждают факт завершения соответствующих мероприятий, предусмотренных для достижения этих результатов.</w:t>
      </w:r>
    </w:p>
    <w:p>
      <w:pPr>
        <w:pStyle w:val="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BodyText"/>
        <w:spacing w:before="0" w:after="0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tbl>
      <w:tblPr>
        <w:tblW w:w="9628" w:type="dxa"/>
        <w:jc w:val="left"/>
        <w:tblInd w:w="-109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55"/>
        <w:gridCol w:w="5372"/>
      </w:tblGrid>
      <w:tr>
        <w:trPr/>
        <w:tc>
          <w:tcPr>
            <w:tcW w:w="4255" w:type="dxa"/>
            <w:tcBorders/>
          </w:tcPr>
          <w:p>
            <w:pPr>
              <w:pStyle w:val="Normal"/>
              <w:snapToGrid w:val="false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</w:r>
          </w:p>
        </w:tc>
        <w:tc>
          <w:tcPr>
            <w:tcW w:w="5372" w:type="dxa"/>
            <w:tcBorders/>
          </w:tcPr>
          <w:p>
            <w:pPr>
              <w:pStyle w:val="Normal"/>
              <w:jc w:val="both"/>
              <w:rPr/>
            </w:pPr>
            <w:r>
              <w:rPr>
                <w:rFonts w:eastAsia="NSimSun" w:cs="Mangal" w:ascii="Times New Roman" w:hAnsi="Times New Roman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outline w:val="false"/>
                <w:emboss w:val="false"/>
                <w:imprint w:val="false"/>
                <w:color w:val="000000"/>
                <w:spacing w:val="0"/>
                <w:w w:val="100"/>
                <w:kern w:val="2"/>
                <w:position w:val="0"/>
                <w:sz w:val="26"/>
                <w:sz w:val="26"/>
                <w:szCs w:val="26"/>
                <w:u w:val="none"/>
                <w:shd w:fill="auto" w:val="clear"/>
                <w:vertAlign w:val="baseline"/>
                <w:em w:val="none"/>
                <w:lang w:val="ru-RU" w:eastAsia="zh-CN" w:bidi="hi-IN"/>
              </w:rPr>
              <w:t>Приложение</w:t>
            </w:r>
          </w:p>
          <w:p>
            <w:pPr>
              <w:pStyle w:val="Normal"/>
              <w:jc w:val="both"/>
              <w:rPr/>
            </w:pPr>
            <w:r>
              <w:rPr>
                <w:rStyle w:val="Style14"/>
                <w:rFonts w:eastAsia="NSimSun" w:cs="Mangal" w:ascii="Times New Roman" w:hAnsi="Times New Roman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outline w:val="false"/>
                <w:emboss w:val="false"/>
                <w:imprint w:val="false"/>
                <w:color w:val="000000"/>
                <w:spacing w:val="0"/>
                <w:w w:val="100"/>
                <w:kern w:val="2"/>
                <w:position w:val="0"/>
                <w:sz w:val="26"/>
                <w:sz w:val="26"/>
                <w:szCs w:val="26"/>
                <w:u w:val="none"/>
                <w:shd w:fill="auto" w:val="clear"/>
                <w:vertAlign w:val="baseline"/>
                <w:em w:val="none"/>
                <w:lang w:val="ru-RU" w:eastAsia="zh-CN" w:bidi="hi-IN"/>
              </w:rPr>
              <w:t>к Порядку предоставления субсидий на финансовое обеспечение затрат, связанных с выполнением наказов депутатов Законодательного собрания Камчатского края, за счёт средств бюджета Вилючинского городского округа для приобретения спортивной формы, спортивного инвентаря и оплаты проезда несовершеннолетних спортсменов и тренера для участия в соревнованиях и тренировочных сборах за пределами Камчатского края автономной некоммерческой организации «Горняк-футбол» на 2026 год</w:t>
            </w:r>
          </w:p>
          <w:p>
            <w:pPr>
              <w:pStyle w:val="Normal"/>
              <w:jc w:val="both"/>
              <w:rPr>
                <w:rFonts w:ascii="Times New Roman" w:hAnsi="Times New Roman" w:eastAsia="NSimSun" w:cs="Mangal"/>
                <w:b w:val="false"/>
                <w:bCs w:val="false"/>
                <w:i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outline w:val="false"/>
                <w:emboss w:val="false"/>
                <w:imprint w:val="false"/>
                <w:color w:val="000000"/>
                <w:spacing w:val="0"/>
                <w:w w:val="100"/>
                <w:kern w:val="2"/>
                <w:position w:val="0"/>
                <w:sz w:val="26"/>
                <w:sz w:val="26"/>
                <w:szCs w:val="26"/>
                <w:u w:val="none"/>
                <w:shd w:fill="auto" w:val="clear"/>
                <w:vertAlign w:val="baseline"/>
                <w:em w:val="none"/>
                <w:lang w:val="ru-RU" w:eastAsia="zh-CN" w:bidi="hi-IN"/>
              </w:rPr>
            </w:pPr>
            <w:r>
              <w:rPr>
                <w:rFonts w:eastAsia="NSimSun" w:cs="Mangal" w:ascii="Times New Roman" w:hAnsi="Times New Roman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outline w:val="false"/>
                <w:emboss w:val="false"/>
                <w:imprint w:val="false"/>
                <w:color w:val="000000"/>
                <w:spacing w:val="0"/>
                <w:w w:val="100"/>
                <w:kern w:val="2"/>
                <w:position w:val="0"/>
                <w:sz w:val="26"/>
                <w:sz w:val="26"/>
                <w:szCs w:val="26"/>
                <w:u w:val="none"/>
                <w:shd w:fill="auto" w:val="clear"/>
                <w:vertAlign w:val="baseline"/>
                <w:em w:val="none"/>
                <w:lang w:val="ru-RU" w:eastAsia="zh-CN" w:bidi="hi-IN"/>
              </w:rPr>
            </w:r>
          </w:p>
          <w:p>
            <w:pPr>
              <w:pStyle w:val="Normal"/>
              <w:jc w:val="both"/>
              <w:rPr/>
            </w:pPr>
            <w:r>
              <w:rPr>
                <w:rFonts w:eastAsia="NSimSun" w:cs="Mangal" w:ascii="Times New Roman" w:hAnsi="Times New Roman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outline w:val="false"/>
                <w:emboss w:val="false"/>
                <w:imprint w:val="false"/>
                <w:color w:val="000000"/>
                <w:spacing w:val="0"/>
                <w:w w:val="100"/>
                <w:kern w:val="2"/>
                <w:position w:val="0"/>
                <w:sz w:val="26"/>
                <w:sz w:val="26"/>
                <w:szCs w:val="26"/>
                <w:u w:val="none"/>
                <w:shd w:fill="auto" w:val="clear"/>
                <w:vertAlign w:val="baseline"/>
                <w:em w:val="none"/>
                <w:lang w:val="ru-RU" w:eastAsia="zh-CN" w:bidi="hi-IN"/>
              </w:rPr>
              <w:t>В управление социальной политики администрации Вилючинского городского округа</w:t>
            </w:r>
          </w:p>
        </w:tc>
      </w:tr>
    </w:tbl>
    <w:p>
      <w:pPr>
        <w:pStyle w:val="Normal"/>
        <w:tabs>
          <w:tab w:val="clear" w:pos="709"/>
        </w:tabs>
        <w:ind w:left="72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</w:p>
    <w:p>
      <w:pPr>
        <w:pStyle w:val="Normal"/>
        <w:tabs>
          <w:tab w:val="clear" w:pos="709"/>
        </w:tabs>
        <w:ind w:left="720"/>
        <w:jc w:val="center"/>
        <w:rPr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ЗАЯВЛЕНИЕ</w:t>
      </w:r>
    </w:p>
    <w:p>
      <w:pPr>
        <w:pStyle w:val="Normal"/>
        <w:jc w:val="center"/>
        <w:rPr/>
      </w:pPr>
      <w:r>
        <w:rPr>
          <w:rStyle w:val="Style14"/>
          <w:rFonts w:ascii="Times New Roman" w:hAnsi="Times New Roman"/>
          <w:sz w:val="26"/>
          <w:szCs w:val="26"/>
        </w:rPr>
        <w:t>о предоставлении субсидий на финансовое обеспечение затрат, связанных с выполнением наказов депутатов Законодательного собрания Камчатского края, за счёт средств бюджета Вилючинского городского округа для приобретения спортивной формы, спортивного инвентаря и оплаты проезда несовершеннолетних спортсменов и тренера для участия в соревнованиях и тренировочных сборах за пределами Камчатского края автономной некоммерческой организации «Горняк-футбол»</w:t>
      </w:r>
    </w:p>
    <w:p>
      <w:pPr>
        <w:pStyle w:val="Normal"/>
        <w:jc w:val="center"/>
        <w:rPr/>
      </w:pPr>
      <w:r>
        <w:rPr>
          <w:rStyle w:val="Style14"/>
          <w:rFonts w:ascii="Times New Roman" w:hAnsi="Times New Roman"/>
          <w:sz w:val="26"/>
          <w:szCs w:val="26"/>
        </w:rPr>
        <w:t xml:space="preserve"> </w:t>
      </w:r>
      <w:r>
        <w:rPr>
          <w:rStyle w:val="Style14"/>
          <w:rFonts w:ascii="Times New Roman" w:hAnsi="Times New Roman"/>
          <w:sz w:val="26"/>
          <w:szCs w:val="26"/>
        </w:rPr>
        <w:t>на 2026 год</w:t>
      </w:r>
    </w:p>
    <w:p>
      <w:pPr>
        <w:pStyle w:val="Normal"/>
        <w:tabs>
          <w:tab w:val="clear" w:pos="709"/>
        </w:tabs>
        <w:ind w:left="72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Полное наименование организации_____________________________________</w:t>
      </w:r>
    </w:p>
    <w:p>
      <w:pPr>
        <w:pStyle w:val="Normal"/>
        <w:tabs>
          <w:tab w:val="clear" w:pos="709"/>
        </w:tabs>
        <w:ind w:left="72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Сокращенное наименование организации  _______________________________</w:t>
      </w:r>
    </w:p>
    <w:p>
      <w:pPr>
        <w:pStyle w:val="Normal"/>
        <w:tabs>
          <w:tab w:val="clear" w:pos="709"/>
        </w:tabs>
        <w:ind w:left="72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Юридический адрес организации  ______________________________________</w:t>
      </w:r>
    </w:p>
    <w:p>
      <w:pPr>
        <w:pStyle w:val="Normal"/>
        <w:tabs>
          <w:tab w:val="clear" w:pos="709"/>
        </w:tabs>
        <w:ind w:left="72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Почтовый адрес организации __________________________________________</w:t>
      </w:r>
    </w:p>
    <w:p>
      <w:pPr>
        <w:pStyle w:val="Normal"/>
        <w:tabs>
          <w:tab w:val="clear" w:pos="709"/>
        </w:tabs>
        <w:ind w:left="72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Ф.И.О. руководителя организации ______________________________________</w:t>
      </w:r>
    </w:p>
    <w:p>
      <w:pPr>
        <w:pStyle w:val="Normal"/>
        <w:tabs>
          <w:tab w:val="clear" w:pos="709"/>
        </w:tabs>
        <w:ind w:left="72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Контактный телефон, адрес электронной почты  __________________________</w:t>
      </w:r>
    </w:p>
    <w:p>
      <w:pPr>
        <w:pStyle w:val="Normal"/>
        <w:tabs>
          <w:tab w:val="clear" w:pos="709"/>
        </w:tabs>
        <w:ind w:left="72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ИНН/КПП организации  ___________________/___________________________</w:t>
      </w:r>
    </w:p>
    <w:p>
      <w:pPr>
        <w:pStyle w:val="Normal"/>
        <w:tabs>
          <w:tab w:val="clear" w:pos="709"/>
        </w:tabs>
        <w:ind w:left="72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ОГРН организации ___________________________________________________</w:t>
      </w:r>
    </w:p>
    <w:p>
      <w:pPr>
        <w:pStyle w:val="Normal"/>
        <w:tabs>
          <w:tab w:val="clear" w:pos="709"/>
        </w:tabs>
        <w:ind w:left="72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Расчетный счет организации ___________________________________________</w:t>
      </w:r>
    </w:p>
    <w:p>
      <w:pPr>
        <w:pStyle w:val="Normal"/>
        <w:tabs>
          <w:tab w:val="clear" w:pos="709"/>
        </w:tabs>
        <w:ind w:left="72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Наименование, адрес банка получателя  _________________________________</w:t>
      </w:r>
    </w:p>
    <w:p>
      <w:pPr>
        <w:pStyle w:val="Normal"/>
        <w:tabs>
          <w:tab w:val="clear" w:pos="709"/>
        </w:tabs>
        <w:ind w:left="72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Банковский идентификационный код (БИК)______________________________</w:t>
      </w:r>
    </w:p>
    <w:p>
      <w:pPr>
        <w:pStyle w:val="Normal"/>
        <w:tabs>
          <w:tab w:val="clear" w:pos="709"/>
        </w:tabs>
        <w:ind w:left="72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Банковский корреспондентский счет ____________________________________</w:t>
      </w:r>
    </w:p>
    <w:p>
      <w:pPr>
        <w:pStyle w:val="Normal"/>
        <w:tabs>
          <w:tab w:val="clear" w:pos="709"/>
        </w:tabs>
        <w:ind w:left="72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</w:p>
    <w:p>
      <w:pPr>
        <w:pStyle w:val="Normal"/>
        <w:ind w:firstLine="737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Обоснование необходимости предоставления субсидии, перечень мероприятий на которые планируется использовать субсидию:</w:t>
      </w:r>
    </w:p>
    <w:p>
      <w:pPr>
        <w:pStyle w:val="Normal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__________________________________________________________________________</w:t>
      </w:r>
    </w:p>
    <w:p>
      <w:pPr>
        <w:pStyle w:val="Normal"/>
        <w:tabs>
          <w:tab w:val="clear" w:pos="709"/>
        </w:tabs>
        <w:ind w:left="72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</w:p>
    <w:p>
      <w:pPr>
        <w:pStyle w:val="Normal"/>
        <w:tabs>
          <w:tab w:val="clear" w:pos="709"/>
        </w:tabs>
        <w:ind w:left="72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</w:p>
    <w:p>
      <w:pPr>
        <w:pStyle w:val="Normal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Руководитель организации ______________ /______________/</w:t>
      </w:r>
    </w:p>
    <w:p>
      <w:pPr>
        <w:pStyle w:val="Normal"/>
        <w:tabs>
          <w:tab w:val="clear" w:pos="709"/>
        </w:tabs>
        <w:ind w:left="720"/>
        <w:rPr/>
      </w:pPr>
      <w:r>
        <w:rPr>
          <w:rStyle w:val="Style14"/>
          <w:rFonts w:ascii="Times New Roman" w:hAnsi="Times New Roman"/>
          <w:sz w:val="26"/>
          <w:szCs w:val="26"/>
        </w:rPr>
        <w:tab/>
        <w:tab/>
        <w:tab/>
        <w:tab/>
        <w:t xml:space="preserve">   </w:t>
      </w:r>
      <w:r>
        <w:rPr>
          <w:rFonts w:ascii="Times New Roman" w:hAnsi="Times New Roman"/>
        </w:rPr>
        <w:t>М.П.</w:t>
      </w:r>
    </w:p>
    <w:sectPr>
      <w:type w:val="nextPage"/>
      <w:pgSz w:w="11906" w:h="16838"/>
      <w:pgMar w:left="1701" w:right="567" w:gutter="0" w:header="0" w:top="1134" w:footer="0" w:bottom="1134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ahoma">
    <w:charset w:val="01"/>
    <w:family w:val="roman"/>
    <w:pitch w:val="variable"/>
  </w:font>
  <w:font w:name="Times New Roman">
    <w:charset w:val="01"/>
    <w:family w:val="roman"/>
    <w:pitch w:val="variable"/>
  </w:font>
  <w:font w:name="OpenSymbol">
    <w:altName w:val="Arial Unicode MS"/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Courier New">
    <w:charset w:val="01"/>
    <w:family w:val="roman"/>
    <w:pitch w:val="variable"/>
  </w:font>
  <w:font w:name="Arial">
    <w:charset w:val="01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/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  <w:rPr/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8"/>
        <w:b w:val="false"/>
        <w:szCs w:val="28"/>
        <w:bCs w:val="false"/>
        <w:rFonts w:ascii="Times New Roman" w:hAnsi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440" w:hanging="720"/>
      </w:pPr>
      <w:rPr>
        <w:sz w:val="28"/>
        <w:b w:val="false"/>
        <w:szCs w:val="28"/>
        <w:bCs w:val="false"/>
        <w:rFonts w:ascii="Times New Roman" w:hAnsi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00" w:hanging="720"/>
      </w:pPr>
      <w:rPr>
        <w:b w:val="false"/>
        <w:bCs w:val="false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520" w:hanging="1080"/>
      </w:pPr>
      <w:rPr>
        <w:b w:val="false"/>
        <w:bCs w:val="false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880" w:hanging="1080"/>
      </w:pPr>
      <w:rPr>
        <w:b w:val="false"/>
        <w:bCs w:val="false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600" w:hanging="1440"/>
      </w:pPr>
      <w:rPr>
        <w:b w:val="false"/>
        <w:bCs w:val="false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320" w:hanging="1800"/>
      </w:pPr>
      <w:rPr>
        <w:b w:val="false"/>
        <w:bCs w:val="false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680" w:hanging="1800"/>
      </w:pPr>
      <w:rPr>
        <w:b w:val="false"/>
        <w:bCs w:val="false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400" w:hanging="2160"/>
      </w:pPr>
      <w:rPr>
        <w:b w:val="false"/>
        <w:bCs w:val="false"/>
      </w:rPr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8"/>
        <w:b w:val="false"/>
        <w:szCs w:val="28"/>
        <w:bCs w:val="false"/>
        <w:rFonts w:ascii="Times New Roman" w:hAnsi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440" w:hanging="720"/>
      </w:pPr>
      <w:rPr>
        <w:sz w:val="28"/>
        <w:b w:val="false"/>
        <w:szCs w:val="28"/>
        <w:bCs w:val="false"/>
        <w:rFonts w:ascii="Times New Roman" w:hAnsi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00" w:hanging="720"/>
      </w:pPr>
      <w:rPr>
        <w:b w:val="false"/>
        <w:bCs w:val="false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520" w:hanging="1080"/>
      </w:pPr>
      <w:rPr>
        <w:b w:val="false"/>
        <w:bCs w:val="false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880" w:hanging="1080"/>
      </w:pPr>
      <w:rPr>
        <w:b w:val="false"/>
        <w:bCs w:val="false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600" w:hanging="1440"/>
      </w:pPr>
      <w:rPr>
        <w:b w:val="false"/>
        <w:bCs w:val="false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320" w:hanging="1800"/>
      </w:pPr>
      <w:rPr>
        <w:b w:val="false"/>
        <w:bCs w:val="false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680" w:hanging="1800"/>
      </w:pPr>
      <w:rPr>
        <w:b w:val="false"/>
        <w:bCs w:val="false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400" w:hanging="2160"/>
      </w:pPr>
      <w:rPr>
        <w:b w:val="false"/>
        <w:bCs w:val="false"/>
      </w:rPr>
    </w:lvl>
  </w:abstractNum>
  <w:abstractNum w:abstractNumId="5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8"/>
        <w:b w:val="false"/>
        <w:szCs w:val="28"/>
        <w:bCs w:val="false"/>
        <w:rFonts w:ascii="Times New Roman" w:hAnsi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440" w:hanging="720"/>
      </w:pPr>
      <w:rPr>
        <w:sz w:val="28"/>
        <w:b w:val="false"/>
        <w:szCs w:val="28"/>
        <w:bCs w:val="false"/>
        <w:rFonts w:ascii="Times New Roman" w:hAnsi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00" w:hanging="720"/>
      </w:pPr>
      <w:rPr>
        <w:b w:val="false"/>
        <w:bCs w:val="false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520" w:hanging="1080"/>
      </w:pPr>
      <w:rPr>
        <w:b w:val="false"/>
        <w:bCs w:val="false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880" w:hanging="1080"/>
      </w:pPr>
      <w:rPr>
        <w:b w:val="false"/>
        <w:bCs w:val="false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600" w:hanging="1440"/>
      </w:pPr>
      <w:rPr>
        <w:b w:val="false"/>
        <w:bCs w:val="false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320" w:hanging="1800"/>
      </w:pPr>
      <w:rPr>
        <w:b w:val="false"/>
        <w:bCs w:val="false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680" w:hanging="1800"/>
      </w:pPr>
      <w:rPr>
        <w:b w:val="false"/>
        <w:bCs w:val="false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400" w:hanging="2160"/>
      </w:pPr>
      <w:rPr>
        <w:b w:val="false"/>
        <w:bCs w:val="false"/>
      </w:rPr>
    </w:lvl>
  </w:abstractNum>
  <w:abstractNum w:abstractNumId="6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8"/>
        <w:b w:val="false"/>
        <w:szCs w:val="28"/>
        <w:bCs w:val="false"/>
        <w:rFonts w:ascii="Times New Roman" w:hAnsi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440" w:hanging="720"/>
      </w:pPr>
      <w:rPr>
        <w:sz w:val="28"/>
        <w:b w:val="false"/>
        <w:szCs w:val="28"/>
        <w:bCs w:val="false"/>
        <w:rFonts w:ascii="Times New Roman" w:hAnsi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00" w:hanging="720"/>
      </w:pPr>
      <w:rPr>
        <w:b w:val="false"/>
        <w:bCs w:val="false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520" w:hanging="1080"/>
      </w:pPr>
      <w:rPr>
        <w:b w:val="false"/>
        <w:bCs w:val="false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880" w:hanging="1080"/>
      </w:pPr>
      <w:rPr>
        <w:b w:val="false"/>
        <w:bCs w:val="false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600" w:hanging="1440"/>
      </w:pPr>
      <w:rPr>
        <w:b w:val="false"/>
        <w:bCs w:val="false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320" w:hanging="1800"/>
      </w:pPr>
      <w:rPr>
        <w:b w:val="false"/>
        <w:bCs w:val="false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680" w:hanging="1800"/>
      </w:pPr>
      <w:rPr>
        <w:b w:val="false"/>
        <w:bCs w:val="false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400" w:hanging="2160"/>
      </w:pPr>
      <w:rPr>
        <w:b w:val="false"/>
        <w:bCs w:val="false"/>
      </w:rPr>
    </w:lvl>
  </w:abstractNum>
  <w:abstractNum w:abstractNumId="7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8"/>
        <w:b w:val="false"/>
        <w:szCs w:val="28"/>
        <w:bCs w:val="false"/>
        <w:rFonts w:ascii="Times New Roman" w:hAnsi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440" w:hanging="720"/>
      </w:pPr>
      <w:rPr>
        <w:sz w:val="28"/>
        <w:b w:val="false"/>
        <w:szCs w:val="28"/>
        <w:bCs w:val="false"/>
        <w:rFonts w:ascii="Times New Roman" w:hAnsi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00" w:hanging="720"/>
      </w:pPr>
      <w:rPr>
        <w:b w:val="false"/>
        <w:bCs w:val="false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520" w:hanging="1080"/>
      </w:pPr>
      <w:rPr>
        <w:b w:val="false"/>
        <w:bCs w:val="false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880" w:hanging="1080"/>
      </w:pPr>
      <w:rPr>
        <w:b w:val="false"/>
        <w:bCs w:val="false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600" w:hanging="1440"/>
      </w:pPr>
      <w:rPr>
        <w:b w:val="false"/>
        <w:bCs w:val="false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320" w:hanging="1800"/>
      </w:pPr>
      <w:rPr>
        <w:b w:val="false"/>
        <w:bCs w:val="false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680" w:hanging="1800"/>
      </w:pPr>
      <w:rPr>
        <w:b w:val="false"/>
        <w:bCs w:val="false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400" w:hanging="2160"/>
      </w:pPr>
      <w:rPr>
        <w:b w:val="false"/>
        <w:bCs w:val="false"/>
      </w:rPr>
    </w:lvl>
  </w:abstractNum>
  <w:abstractNum w:abstractNumId="8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8"/>
        <w:b w:val="false"/>
        <w:szCs w:val="28"/>
        <w:bCs w:val="false"/>
        <w:rFonts w:ascii="Times New Roman" w:hAnsi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440" w:hanging="720"/>
      </w:pPr>
      <w:rPr>
        <w:sz w:val="28"/>
        <w:b w:val="false"/>
        <w:szCs w:val="28"/>
        <w:bCs w:val="false"/>
        <w:rFonts w:ascii="Times New Roman" w:hAnsi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00" w:hanging="720"/>
      </w:pPr>
      <w:rPr>
        <w:b w:val="false"/>
        <w:bCs w:val="false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520" w:hanging="1080"/>
      </w:pPr>
      <w:rPr>
        <w:b w:val="false"/>
        <w:bCs w:val="false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880" w:hanging="1080"/>
      </w:pPr>
      <w:rPr>
        <w:b w:val="false"/>
        <w:bCs w:val="false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600" w:hanging="1440"/>
      </w:pPr>
      <w:rPr>
        <w:b w:val="false"/>
        <w:bCs w:val="false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320" w:hanging="1800"/>
      </w:pPr>
      <w:rPr>
        <w:b w:val="false"/>
        <w:bCs w:val="false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680" w:hanging="1800"/>
      </w:pPr>
      <w:rPr>
        <w:b w:val="false"/>
        <w:bCs w:val="false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400" w:hanging="2160"/>
      </w:pPr>
      <w:rPr>
        <w:b w:val="false"/>
        <w:bCs w:val="false"/>
      </w:rPr>
    </w:lvl>
  </w:abstractNum>
  <w:abstractNum w:abstractNumId="9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8"/>
        <w:b w:val="false"/>
        <w:szCs w:val="28"/>
        <w:bCs w:val="false"/>
        <w:rFonts w:ascii="Times New Roman" w:hAnsi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440" w:hanging="720"/>
      </w:pPr>
      <w:rPr>
        <w:sz w:val="28"/>
        <w:b w:val="false"/>
        <w:szCs w:val="28"/>
        <w:bCs w:val="false"/>
        <w:rFonts w:ascii="Times New Roman" w:hAnsi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00" w:hanging="720"/>
      </w:pPr>
      <w:rPr>
        <w:b w:val="false"/>
        <w:bCs w:val="false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520" w:hanging="1080"/>
      </w:pPr>
      <w:rPr>
        <w:b w:val="false"/>
        <w:bCs w:val="false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880" w:hanging="1080"/>
      </w:pPr>
      <w:rPr>
        <w:b w:val="false"/>
        <w:bCs w:val="false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600" w:hanging="1440"/>
      </w:pPr>
      <w:rPr>
        <w:b w:val="false"/>
        <w:bCs w:val="false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320" w:hanging="1800"/>
      </w:pPr>
      <w:rPr>
        <w:b w:val="false"/>
        <w:bCs w:val="false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680" w:hanging="1800"/>
      </w:pPr>
      <w:rPr>
        <w:b w:val="false"/>
        <w:bCs w:val="false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400" w:hanging="2160"/>
      </w:pPr>
      <w:rPr>
        <w:b w:val="false"/>
        <w:bCs w:val="false"/>
      </w:rPr>
    </w:lvl>
  </w:abstractNum>
  <w:abstractNum w:abstractNumId="10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8"/>
        <w:b w:val="false"/>
        <w:szCs w:val="28"/>
        <w:bCs w:val="false"/>
        <w:rFonts w:ascii="Times New Roman" w:hAnsi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440" w:hanging="720"/>
      </w:pPr>
      <w:rPr>
        <w:sz w:val="28"/>
        <w:b w:val="false"/>
        <w:szCs w:val="28"/>
        <w:bCs w:val="false"/>
        <w:rFonts w:ascii="Times New Roman" w:hAnsi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00" w:hanging="720"/>
      </w:pPr>
      <w:rPr>
        <w:b w:val="false"/>
        <w:bCs w:val="false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520" w:hanging="1080"/>
      </w:pPr>
      <w:rPr>
        <w:b w:val="false"/>
        <w:bCs w:val="false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880" w:hanging="1080"/>
      </w:pPr>
      <w:rPr>
        <w:b w:val="false"/>
        <w:bCs w:val="false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600" w:hanging="1440"/>
      </w:pPr>
      <w:rPr>
        <w:b w:val="false"/>
        <w:bCs w:val="false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320" w:hanging="1800"/>
      </w:pPr>
      <w:rPr>
        <w:b w:val="false"/>
        <w:bCs w:val="false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680" w:hanging="1800"/>
      </w:pPr>
      <w:rPr>
        <w:b w:val="false"/>
        <w:bCs w:val="false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400" w:hanging="2160"/>
      </w:pPr>
      <w:rPr>
        <w:b w:val="false"/>
        <w:bCs w:val="false"/>
      </w:rPr>
    </w:lvl>
  </w:abstractNum>
  <w:abstractNum w:abstractNumId="11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8"/>
        <w:b w:val="false"/>
        <w:szCs w:val="28"/>
        <w:bCs w:val="false"/>
        <w:rFonts w:ascii="Times New Roman" w:hAnsi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440" w:hanging="720"/>
      </w:pPr>
      <w:rPr>
        <w:sz w:val="28"/>
        <w:b w:val="false"/>
        <w:szCs w:val="28"/>
        <w:bCs w:val="false"/>
        <w:rFonts w:ascii="Times New Roman" w:hAnsi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00" w:hanging="720"/>
      </w:pPr>
      <w:rPr>
        <w:b w:val="false"/>
        <w:bCs w:val="false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520" w:hanging="1080"/>
      </w:pPr>
      <w:rPr>
        <w:b w:val="false"/>
        <w:bCs w:val="false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880" w:hanging="1080"/>
      </w:pPr>
      <w:rPr>
        <w:b w:val="false"/>
        <w:bCs w:val="false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600" w:hanging="1440"/>
      </w:pPr>
      <w:rPr>
        <w:b w:val="false"/>
        <w:bCs w:val="false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320" w:hanging="1800"/>
      </w:pPr>
      <w:rPr>
        <w:b w:val="false"/>
        <w:bCs w:val="false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680" w:hanging="1800"/>
      </w:pPr>
      <w:rPr>
        <w:b w:val="false"/>
        <w:bCs w:val="false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400" w:hanging="2160"/>
      </w:pPr>
      <w:rPr>
        <w:b w:val="false"/>
        <w:bCs w:val="false"/>
      </w:rPr>
    </w:lvl>
  </w:abstractNum>
  <w:abstractNum w:abstractNumId="12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8"/>
        <w:b w:val="false"/>
        <w:szCs w:val="28"/>
        <w:bCs w:val="false"/>
        <w:rFonts w:ascii="Times New Roman" w:hAnsi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440" w:hanging="720"/>
      </w:pPr>
      <w:rPr>
        <w:sz w:val="28"/>
        <w:b w:val="false"/>
        <w:szCs w:val="28"/>
        <w:bCs w:val="false"/>
        <w:rFonts w:ascii="Times New Roman" w:hAnsi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00" w:hanging="720"/>
      </w:pPr>
      <w:rPr>
        <w:b w:val="false"/>
        <w:bCs w:val="false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520" w:hanging="1080"/>
      </w:pPr>
      <w:rPr>
        <w:b w:val="false"/>
        <w:bCs w:val="false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880" w:hanging="1080"/>
      </w:pPr>
      <w:rPr>
        <w:b w:val="false"/>
        <w:bCs w:val="false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600" w:hanging="1440"/>
      </w:pPr>
      <w:rPr>
        <w:b w:val="false"/>
        <w:bCs w:val="false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320" w:hanging="1800"/>
      </w:pPr>
      <w:rPr>
        <w:b w:val="false"/>
        <w:bCs w:val="false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680" w:hanging="1800"/>
      </w:pPr>
      <w:rPr>
        <w:b w:val="false"/>
        <w:bCs w:val="false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400" w:hanging="2160"/>
      </w:pPr>
      <w:rPr>
        <w:b w:val="false"/>
        <w:bCs w:val="false"/>
      </w:rPr>
    </w:lvl>
  </w:abstractNum>
  <w:abstractNum w:abstractNumId="13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8"/>
        <w:b w:val="false"/>
        <w:szCs w:val="28"/>
        <w:bCs w:val="false"/>
        <w:rFonts w:ascii="Times New Roman" w:hAnsi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440" w:hanging="720"/>
      </w:pPr>
      <w:rPr>
        <w:sz w:val="28"/>
        <w:b w:val="false"/>
        <w:szCs w:val="28"/>
        <w:bCs w:val="false"/>
        <w:rFonts w:ascii="Times New Roman" w:hAnsi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00" w:hanging="720"/>
      </w:pPr>
      <w:rPr>
        <w:b w:val="false"/>
        <w:bCs w:val="false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520" w:hanging="1080"/>
      </w:pPr>
      <w:rPr>
        <w:b w:val="false"/>
        <w:bCs w:val="false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880" w:hanging="1080"/>
      </w:pPr>
      <w:rPr>
        <w:b w:val="false"/>
        <w:bCs w:val="false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600" w:hanging="1440"/>
      </w:pPr>
      <w:rPr>
        <w:b w:val="false"/>
        <w:bCs w:val="false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320" w:hanging="1800"/>
      </w:pPr>
      <w:rPr>
        <w:b w:val="false"/>
        <w:bCs w:val="false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680" w:hanging="1800"/>
      </w:pPr>
      <w:rPr>
        <w:b w:val="false"/>
        <w:bCs w:val="false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400" w:hanging="2160"/>
      </w:pPr>
      <w:rPr>
        <w:b w:val="false"/>
        <w:bCs w:val="false"/>
      </w:rPr>
    </w:lvl>
  </w:abstractNum>
  <w:abstractNum w:abstractNumId="14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8"/>
        <w:b w:val="false"/>
        <w:szCs w:val="28"/>
        <w:bCs w:val="false"/>
        <w:rFonts w:ascii="Times New Roman" w:hAnsi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440" w:hanging="720"/>
      </w:pPr>
      <w:rPr>
        <w:sz w:val="28"/>
        <w:b w:val="false"/>
        <w:szCs w:val="28"/>
        <w:bCs w:val="false"/>
        <w:rFonts w:ascii="Times New Roman" w:hAnsi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00" w:hanging="720"/>
      </w:pPr>
      <w:rPr>
        <w:b w:val="false"/>
        <w:bCs w:val="false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520" w:hanging="1080"/>
      </w:pPr>
      <w:rPr>
        <w:b w:val="false"/>
        <w:bCs w:val="false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880" w:hanging="1080"/>
      </w:pPr>
      <w:rPr>
        <w:b w:val="false"/>
        <w:bCs w:val="false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600" w:hanging="1440"/>
      </w:pPr>
      <w:rPr>
        <w:b w:val="false"/>
        <w:bCs w:val="false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320" w:hanging="1800"/>
      </w:pPr>
      <w:rPr>
        <w:b w:val="false"/>
        <w:bCs w:val="false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680" w:hanging="1800"/>
      </w:pPr>
      <w:rPr>
        <w:b w:val="false"/>
        <w:bCs w:val="false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400" w:hanging="2160"/>
      </w:pPr>
      <w:rPr>
        <w:b w:val="false"/>
        <w:bCs w:val="false"/>
      </w:rPr>
    </w:lvl>
  </w:abstractNum>
  <w:abstractNum w:abstractNumId="15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8"/>
        <w:b w:val="false"/>
        <w:szCs w:val="28"/>
        <w:bCs w:val="false"/>
        <w:rFonts w:ascii="Times New Roman" w:hAnsi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440" w:hanging="720"/>
      </w:pPr>
      <w:rPr>
        <w:sz w:val="28"/>
        <w:b w:val="false"/>
        <w:szCs w:val="28"/>
        <w:bCs w:val="false"/>
        <w:rFonts w:ascii="Times New Roman" w:hAnsi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00" w:hanging="720"/>
      </w:pPr>
      <w:rPr>
        <w:b w:val="false"/>
        <w:bCs w:val="false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520" w:hanging="1080"/>
      </w:pPr>
      <w:rPr>
        <w:b w:val="false"/>
        <w:bCs w:val="false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880" w:hanging="1080"/>
      </w:pPr>
      <w:rPr>
        <w:b w:val="false"/>
        <w:bCs w:val="false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600" w:hanging="1440"/>
      </w:pPr>
      <w:rPr>
        <w:b w:val="false"/>
        <w:bCs w:val="false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320" w:hanging="1800"/>
      </w:pPr>
      <w:rPr>
        <w:b w:val="false"/>
        <w:bCs w:val="false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680" w:hanging="1800"/>
      </w:pPr>
      <w:rPr>
        <w:b w:val="false"/>
        <w:bCs w:val="false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400" w:hanging="2160"/>
      </w:pPr>
      <w:rPr>
        <w:b w:val="false"/>
        <w:bCs w:val="false"/>
      </w:rPr>
    </w:lvl>
  </w:abstractNum>
  <w:abstractNum w:abstractNumId="16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8"/>
        <w:b w:val="false"/>
        <w:szCs w:val="28"/>
        <w:bCs w:val="false"/>
        <w:rFonts w:ascii="Times New Roman" w:hAnsi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440" w:hanging="720"/>
      </w:pPr>
      <w:rPr>
        <w:sz w:val="28"/>
        <w:b w:val="false"/>
        <w:szCs w:val="28"/>
        <w:bCs w:val="false"/>
        <w:rFonts w:ascii="Times New Roman" w:hAnsi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00" w:hanging="720"/>
      </w:pPr>
      <w:rPr>
        <w:b w:val="false"/>
        <w:bCs w:val="false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520" w:hanging="1080"/>
      </w:pPr>
      <w:rPr>
        <w:b w:val="false"/>
        <w:bCs w:val="false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880" w:hanging="1080"/>
      </w:pPr>
      <w:rPr>
        <w:b w:val="false"/>
        <w:bCs w:val="false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600" w:hanging="1440"/>
      </w:pPr>
      <w:rPr>
        <w:b w:val="false"/>
        <w:bCs w:val="false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320" w:hanging="1800"/>
      </w:pPr>
      <w:rPr>
        <w:b w:val="false"/>
        <w:bCs w:val="false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680" w:hanging="1800"/>
      </w:pPr>
      <w:rPr>
        <w:b w:val="false"/>
        <w:bCs w:val="false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400" w:hanging="2160"/>
      </w:pPr>
      <w:rPr>
        <w:b w:val="false"/>
        <w:bCs w:val="false"/>
      </w:rPr>
    </w:lvl>
  </w:abstractNum>
  <w:abstractNum w:abstractNumId="17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8"/>
        <w:b w:val="false"/>
        <w:szCs w:val="28"/>
        <w:bCs w:val="false"/>
        <w:rFonts w:ascii="Times New Roman" w:hAnsi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440" w:hanging="720"/>
      </w:pPr>
      <w:rPr>
        <w:sz w:val="28"/>
        <w:b w:val="false"/>
        <w:szCs w:val="28"/>
        <w:bCs w:val="false"/>
        <w:rFonts w:ascii="Times New Roman" w:hAnsi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00" w:hanging="720"/>
      </w:pPr>
      <w:rPr>
        <w:b w:val="false"/>
        <w:bCs w:val="false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520" w:hanging="1080"/>
      </w:pPr>
      <w:rPr>
        <w:b w:val="false"/>
        <w:bCs w:val="false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880" w:hanging="1080"/>
      </w:pPr>
      <w:rPr>
        <w:b w:val="false"/>
        <w:bCs w:val="false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600" w:hanging="1440"/>
      </w:pPr>
      <w:rPr>
        <w:b w:val="false"/>
        <w:bCs w:val="false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320" w:hanging="1800"/>
      </w:pPr>
      <w:rPr>
        <w:b w:val="false"/>
        <w:bCs w:val="false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680" w:hanging="1800"/>
      </w:pPr>
      <w:rPr>
        <w:b w:val="false"/>
        <w:bCs w:val="false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400" w:hanging="2160"/>
      </w:pPr>
      <w:rPr>
        <w:b w:val="false"/>
        <w:bCs w:val="fals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3"/>
    <w:lvlOverride w:ilvl="0">
      <w:startOverride w:val="1"/>
    </w:lvlOverride>
  </w:num>
  <w:num w:numId="19">
    <w:abstractNumId w:val="3"/>
  </w:num>
  <w:num w:numId="20">
    <w:abstractNumId w:val="3"/>
  </w:num>
  <w:num w:numId="21">
    <w:abstractNumId w:val="3"/>
  </w:num>
  <w:num w:numId="22">
    <w:abstractNumId w:val="3"/>
  </w:num>
  <w:num w:numId="23">
    <w:abstractNumId w:val="3"/>
  </w:num>
  <w:num w:numId="24">
    <w:abstractNumId w:val="3"/>
  </w:num>
  <w:num w:numId="25">
    <w:abstractNumId w:val="3"/>
  </w:num>
  <w:num w:numId="26">
    <w:abstractNumId w:val="3"/>
  </w:num>
  <w:num w:numId="27">
    <w:abstractNumId w:val="3"/>
  </w:num>
  <w:num w:numId="28">
    <w:abstractNumId w:val="3"/>
  </w:num>
  <w:num w:numId="29">
    <w:abstractNumId w:val="3"/>
  </w:num>
  <w:num w:numId="30">
    <w:abstractNumId w:val="3"/>
  </w:num>
  <w:num w:numId="31">
    <w:abstractNumId w:val="3"/>
  </w:num>
  <w:num w:numId="32">
    <w:abstractNumId w:val="3"/>
  </w:num>
  <w:num w:numId="33">
    <w:abstractNumId w:val="3"/>
  </w:num>
  <w:num w:numId="34">
    <w:abstractNumId w:val="3"/>
  </w:num>
</w:numbering>
</file>

<file path=word/settings.xml><?xml version="1.0" encoding="utf-8"?>
<w:settings xmlns:w="http://schemas.openxmlformats.org/wordprocessingml/2006/main">
  <w:zoom w:percent="100"/>
  <w:defaultTabStop w:val="709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Mangal"/>
        <w:kern w:val="2"/>
        <w:sz w:val="24"/>
        <w:szCs w:val="24"/>
        <w:lang w:val="ru-RU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keepNext w:val="false"/>
      <w:keepLines w:val="false"/>
      <w:pageBreakBefore w:val="false"/>
      <w:widowControl/>
      <w:shd w:val="clear" w:fill="auto"/>
      <w:suppressAutoHyphens w:val="true"/>
      <w:overflowPunct w:val="true"/>
      <w:bidi w:val="0"/>
      <w:snapToGrid w:val="true"/>
      <w:spacing w:lineRule="auto" w:line="240" w:before="0" w:after="0"/>
      <w:jc w:val="left"/>
    </w:pPr>
    <w:rPr>
      <w:rFonts w:ascii="Liberation Serif" w:hAnsi="Liberation Serif" w:eastAsia="NSimSun" w:cs="Mangal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color w:val="000000"/>
      <w:spacing w:val="0"/>
      <w:w w:val="100"/>
      <w:kern w:val="2"/>
      <w:position w:val="0"/>
      <w:sz w:val="24"/>
      <w:sz w:val="24"/>
      <w:szCs w:val="24"/>
      <w:u w:val="none"/>
      <w:shd w:fill="auto" w:val="clear"/>
      <w:vertAlign w:val="baseline"/>
      <w:em w:val="none"/>
      <w:lang w:val="ru-RU" w:eastAsia="zh-CN" w:bidi="hi-IN"/>
    </w:rPr>
  </w:style>
  <w:style w:type="character" w:styleId="Style14">
    <w:name w:val="Основной шрифт абзаца"/>
    <w:qFormat/>
    <w:rPr/>
  </w:style>
  <w:style w:type="character" w:styleId="WW8Num2z0">
    <w:name w:val="WW8Num2z0"/>
    <w:qFormat/>
    <w:rPr>
      <w:b w:val="false"/>
      <w:bCs w:val="false"/>
    </w:rPr>
  </w:style>
  <w:style w:type="character" w:styleId="Hyperlink">
    <w:name w:val="Hyperlink"/>
    <w:rPr>
      <w:color w:val="0000FF"/>
      <w:u w:val="single"/>
    </w:rPr>
  </w:style>
  <w:style w:type="character" w:styleId="WW8Num3z0">
    <w:name w:val="WW8Num3z0"/>
    <w:qFormat/>
    <w:rPr>
      <w:b w:val="false"/>
      <w:bCs w:val="false"/>
    </w:rPr>
  </w:style>
  <w:style w:type="character" w:styleId="Style15">
    <w:name w:val="Текст выноски Знак"/>
    <w:qFormat/>
    <w:rPr>
      <w:rFonts w:ascii="Tahoma" w:hAnsi="Tahoma" w:eastAsia="Tahoma" w:cs="Tahoma"/>
      <w:sz w:val="16"/>
      <w:szCs w:val="16"/>
    </w:rPr>
  </w:style>
  <w:style w:type="character" w:styleId="WWCharLFO1LVL1">
    <w:name w:val="WW_CharLFO1LVL1"/>
    <w:qFormat/>
    <w:rPr>
      <w:rFonts w:ascii="Times New Roman" w:hAnsi="Times New Roman"/>
      <w:b w:val="false"/>
      <w:bCs w:val="false"/>
      <w:sz w:val="28"/>
      <w:szCs w:val="28"/>
    </w:rPr>
  </w:style>
  <w:style w:type="character" w:styleId="WWCharLFO1LVL2">
    <w:name w:val="WW_CharLFO1LVL2"/>
    <w:qFormat/>
    <w:rPr>
      <w:rFonts w:ascii="Times New Roman" w:hAnsi="Times New Roman"/>
      <w:b w:val="false"/>
      <w:bCs w:val="false"/>
      <w:sz w:val="28"/>
      <w:szCs w:val="28"/>
    </w:rPr>
  </w:style>
  <w:style w:type="character" w:styleId="WWCharLFO1LVL3">
    <w:name w:val="WW_CharLFO1LVL3"/>
    <w:qFormat/>
    <w:rPr>
      <w:b w:val="false"/>
      <w:bCs w:val="false"/>
    </w:rPr>
  </w:style>
  <w:style w:type="character" w:styleId="WWCharLFO1LVL4">
    <w:name w:val="WW_CharLFO1LVL4"/>
    <w:qFormat/>
    <w:rPr>
      <w:b w:val="false"/>
      <w:bCs w:val="false"/>
    </w:rPr>
  </w:style>
  <w:style w:type="character" w:styleId="WWCharLFO1LVL5">
    <w:name w:val="WW_CharLFO1LVL5"/>
    <w:qFormat/>
    <w:rPr>
      <w:b w:val="false"/>
      <w:bCs w:val="false"/>
    </w:rPr>
  </w:style>
  <w:style w:type="character" w:styleId="WWCharLFO1LVL6">
    <w:name w:val="WW_CharLFO1LVL6"/>
    <w:qFormat/>
    <w:rPr>
      <w:b w:val="false"/>
      <w:bCs w:val="false"/>
    </w:rPr>
  </w:style>
  <w:style w:type="character" w:styleId="WWCharLFO1LVL7">
    <w:name w:val="WW_CharLFO1LVL7"/>
    <w:qFormat/>
    <w:rPr>
      <w:b w:val="false"/>
      <w:bCs w:val="false"/>
    </w:rPr>
  </w:style>
  <w:style w:type="character" w:styleId="WWCharLFO1LVL8">
    <w:name w:val="WW_CharLFO1LVL8"/>
    <w:qFormat/>
    <w:rPr>
      <w:b w:val="false"/>
      <w:bCs w:val="false"/>
    </w:rPr>
  </w:style>
  <w:style w:type="character" w:styleId="WWCharLFO1LVL9">
    <w:name w:val="WW_CharLFO1LVL9"/>
    <w:qFormat/>
    <w:rPr>
      <w:b w:val="false"/>
      <w:bCs w:val="false"/>
    </w:rPr>
  </w:style>
  <w:style w:type="character" w:styleId="WWCharLFO2LVL1">
    <w:name w:val="WW_CharLFO2LVL1"/>
    <w:qFormat/>
    <w:rPr>
      <w:b w:val="false"/>
      <w:bCs w:val="false"/>
    </w:rPr>
  </w:style>
  <w:style w:type="character" w:styleId="WWCharLFO2LVL2">
    <w:name w:val="WW_CharLFO2LVL2"/>
    <w:qFormat/>
    <w:rPr>
      <w:b w:val="false"/>
      <w:bCs w:val="false"/>
    </w:rPr>
  </w:style>
  <w:style w:type="character" w:styleId="WWCharLFO2LVL3">
    <w:name w:val="WW_CharLFO2LVL3"/>
    <w:qFormat/>
    <w:rPr>
      <w:b w:val="false"/>
      <w:bCs w:val="false"/>
    </w:rPr>
  </w:style>
  <w:style w:type="character" w:styleId="WWCharLFO2LVL4">
    <w:name w:val="WW_CharLFO2LVL4"/>
    <w:qFormat/>
    <w:rPr>
      <w:b w:val="false"/>
      <w:bCs w:val="false"/>
    </w:rPr>
  </w:style>
  <w:style w:type="character" w:styleId="WWCharLFO2LVL5">
    <w:name w:val="WW_CharLFO2LVL5"/>
    <w:qFormat/>
    <w:rPr>
      <w:b w:val="false"/>
      <w:bCs w:val="false"/>
    </w:rPr>
  </w:style>
  <w:style w:type="character" w:styleId="WWCharLFO2LVL6">
    <w:name w:val="WW_CharLFO2LVL6"/>
    <w:qFormat/>
    <w:rPr>
      <w:b w:val="false"/>
      <w:bCs w:val="false"/>
    </w:rPr>
  </w:style>
  <w:style w:type="character" w:styleId="WWCharLFO2LVL7">
    <w:name w:val="WW_CharLFO2LVL7"/>
    <w:qFormat/>
    <w:rPr>
      <w:b w:val="false"/>
      <w:bCs w:val="false"/>
    </w:rPr>
  </w:style>
  <w:style w:type="character" w:styleId="WWCharLFO2LVL8">
    <w:name w:val="WW_CharLFO2LVL8"/>
    <w:qFormat/>
    <w:rPr>
      <w:b w:val="false"/>
      <w:bCs w:val="false"/>
    </w:rPr>
  </w:style>
  <w:style w:type="character" w:styleId="WWCharLFO2LVL9">
    <w:name w:val="WW_CharLFO2LVL9"/>
    <w:qFormat/>
    <w:rPr>
      <w:b w:val="false"/>
      <w:bCs w:val="false"/>
    </w:rPr>
  </w:style>
  <w:style w:type="character" w:styleId="Style16">
    <w:name w:val="Маркеры"/>
    <w:qFormat/>
    <w:rPr>
      <w:rFonts w:ascii="OpenSymbol" w:hAnsi="OpenSymbol" w:eastAsia="OpenSymbol" w:cs="OpenSymbol"/>
    </w:rPr>
  </w:style>
  <w:style w:type="character" w:styleId="Style17">
    <w:name w:val="Символ нумерации"/>
    <w:qFormat/>
    <w:rPr/>
  </w:style>
  <w:style w:type="paragraph" w:styleId="Style18">
    <w:name w:val="Заголовок"/>
    <w:basedOn w:val="Normal"/>
    <w:next w:val="BodyText"/>
    <w:qFormat/>
    <w:pPr>
      <w:keepNext w:val="true"/>
      <w:suppressAutoHyphens w:val="true"/>
      <w:spacing w:before="240" w:after="120"/>
    </w:pPr>
    <w:rPr>
      <w:rFonts w:ascii="Liberation Sans" w:hAnsi="Liberation Sans" w:eastAsia="Microsoft YaHei"/>
      <w:sz w:val="28"/>
      <w:szCs w:val="28"/>
    </w:rPr>
  </w:style>
  <w:style w:type="paragraph" w:styleId="BodyText">
    <w:name w:val="Body Text"/>
    <w:basedOn w:val="Normal"/>
    <w:pPr>
      <w:suppressAutoHyphens w:val="true"/>
      <w:spacing w:lineRule="auto" w:line="276" w:before="0" w:after="140"/>
    </w:pPr>
    <w:rPr/>
  </w:style>
  <w:style w:type="paragraph" w:styleId="List">
    <w:name w:val="List"/>
    <w:basedOn w:val="BodyText"/>
    <w:pPr>
      <w:suppressAutoHyphens w:val="true"/>
    </w:pPr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19">
    <w:name w:val="Указатель"/>
    <w:basedOn w:val="Normal"/>
    <w:qFormat/>
    <w:pPr>
      <w:suppressLineNumbers/>
      <w:suppressAutoHyphens w:val="true"/>
    </w:pPr>
    <w:rPr/>
  </w:style>
  <w:style w:type="paragraph" w:styleId="Style20">
    <w:name w:val="Обычный"/>
    <w:qFormat/>
    <w:pPr>
      <w:keepNext w:val="false"/>
      <w:keepLines w:val="false"/>
      <w:pageBreakBefore w:val="false"/>
      <w:widowControl/>
      <w:shd w:val="clear" w:fill="auto"/>
      <w:suppressAutoHyphens w:val="true"/>
      <w:overflowPunct w:val="true"/>
      <w:bidi w:val="0"/>
      <w:snapToGrid w:val="true"/>
      <w:spacing w:lineRule="auto" w:line="240" w:before="0" w:after="0"/>
      <w:jc w:val="left"/>
    </w:pPr>
    <w:rPr>
      <w:rFonts w:ascii="Liberation Serif" w:hAnsi="Liberation Serif" w:eastAsia="NSimSun" w:cs="Mangal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color w:val="000000"/>
      <w:spacing w:val="0"/>
      <w:w w:val="100"/>
      <w:kern w:val="2"/>
      <w:position w:val="0"/>
      <w:sz w:val="24"/>
      <w:sz w:val="24"/>
      <w:szCs w:val="24"/>
      <w:u w:val="none"/>
      <w:shd w:fill="auto" w:val="clear"/>
      <w:vertAlign w:val="baseline"/>
      <w:em w:val="none"/>
      <w:lang w:val="ru-RU" w:eastAsia="zh-CN" w:bidi="hi-IN"/>
    </w:rPr>
  </w:style>
  <w:style w:type="paragraph" w:styleId="Style21">
    <w:name w:val="Название объекта"/>
    <w:basedOn w:val="Normal"/>
    <w:qFormat/>
    <w:pPr>
      <w:suppressLineNumbers/>
      <w:suppressAutoHyphens w:val="true"/>
      <w:spacing w:before="120" w:after="120"/>
    </w:pPr>
    <w:rPr>
      <w:i/>
      <w:iCs/>
    </w:rPr>
  </w:style>
  <w:style w:type="paragraph" w:styleId="Style22">
    <w:name w:val="Содержимое таблицы"/>
    <w:basedOn w:val="Normal"/>
    <w:qFormat/>
    <w:pPr>
      <w:widowControl w:val="false"/>
      <w:suppressLineNumbers/>
      <w:suppressAutoHyphens w:val="true"/>
    </w:pPr>
    <w:rPr/>
  </w:style>
  <w:style w:type="paragraph" w:styleId="Style23">
    <w:name w:val="Горизонтальная линия"/>
    <w:basedOn w:val="Normal"/>
    <w:next w:val="BodyText"/>
    <w:qFormat/>
    <w:pPr>
      <w:suppressLineNumbers/>
      <w:suppressAutoHyphens w:val="true"/>
      <w:spacing w:before="0" w:after="283"/>
    </w:pPr>
    <w:rPr>
      <w:sz w:val="12"/>
      <w:szCs w:val="12"/>
    </w:rPr>
  </w:style>
  <w:style w:type="paragraph" w:styleId="Style24">
    <w:name w:val="Текст выноски"/>
    <w:basedOn w:val="Normal"/>
    <w:qFormat/>
    <w:pPr>
      <w:suppressAutoHyphens w:val="true"/>
    </w:pPr>
    <w:rPr>
      <w:rFonts w:ascii="Tahoma" w:hAnsi="Tahoma" w:eastAsia="Tahoma" w:cs="Tahoma"/>
      <w:sz w:val="16"/>
      <w:szCs w:val="16"/>
    </w:rPr>
  </w:style>
  <w:style w:type="paragraph" w:styleId="ConsPlusTitle">
    <w:name w:val="ConsPlusTitle"/>
    <w:qFormat/>
    <w:pPr>
      <w:keepNext w:val="false"/>
      <w:keepLines w:val="false"/>
      <w:pageBreakBefore w:val="false"/>
      <w:widowControl/>
      <w:shd w:val="clear" w:fill="auto"/>
      <w:suppressAutoHyphens w:val="true"/>
      <w:overflowPunct w:val="true"/>
      <w:bidi w:val="0"/>
      <w:snapToGrid w:val="true"/>
      <w:spacing w:lineRule="auto" w:line="240" w:before="0" w:after="0"/>
      <w:jc w:val="left"/>
    </w:pPr>
    <w:rPr>
      <w:rFonts w:ascii="Courier New" w:hAnsi="Courier New" w:eastAsia="Times New Roman" w:cs="Courier New"/>
      <w:b/>
      <w:bCs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color w:val="000000"/>
      <w:spacing w:val="0"/>
      <w:w w:val="100"/>
      <w:kern w:val="2"/>
      <w:position w:val="0"/>
      <w:sz w:val="20"/>
      <w:sz w:val="20"/>
      <w:szCs w:val="20"/>
      <w:u w:val="none"/>
      <w:shd w:fill="auto" w:val="clear"/>
      <w:vertAlign w:val="baseline"/>
      <w:em w:val="none"/>
      <w:lang w:val="ru-RU" w:eastAsia="zh-CN" w:bidi="ar-SA"/>
    </w:rPr>
  </w:style>
  <w:style w:type="paragraph" w:styleId="ConsPlusNonformat">
    <w:name w:val="ConsPlusNonformat"/>
    <w:qFormat/>
    <w:pPr>
      <w:keepNext w:val="false"/>
      <w:keepLines w:val="false"/>
      <w:pageBreakBefore w:val="false"/>
      <w:widowControl/>
      <w:shd w:val="clear" w:fill="auto"/>
      <w:suppressAutoHyphens w:val="true"/>
      <w:overflowPunct w:val="true"/>
      <w:bidi w:val="0"/>
      <w:snapToGrid w:val="true"/>
      <w:spacing w:lineRule="auto" w:line="240" w:before="0" w:after="0"/>
      <w:jc w:val="left"/>
    </w:pPr>
    <w:rPr>
      <w:rFonts w:ascii="Courier New" w:hAnsi="Courier New" w:eastAsia="Times New Roman" w:cs="Courier New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color w:val="000000"/>
      <w:spacing w:val="0"/>
      <w:w w:val="100"/>
      <w:kern w:val="2"/>
      <w:position w:val="0"/>
      <w:sz w:val="20"/>
      <w:sz w:val="20"/>
      <w:szCs w:val="20"/>
      <w:u w:val="none"/>
      <w:shd w:fill="auto" w:val="clear"/>
      <w:vertAlign w:val="baseline"/>
      <w:em w:val="none"/>
      <w:lang w:val="ru-RU" w:eastAsia="zh-CN" w:bidi="ar-SA"/>
    </w:rPr>
  </w:style>
  <w:style w:type="paragraph" w:styleId="ConsPlusNormal">
    <w:name w:val="ConsPlusNormal"/>
    <w:qFormat/>
    <w:pPr>
      <w:keepNext w:val="false"/>
      <w:keepLines w:val="false"/>
      <w:pageBreakBefore w:val="false"/>
      <w:widowControl/>
      <w:shd w:val="clear" w:fill="auto"/>
      <w:suppressAutoHyphens w:val="true"/>
      <w:overflowPunct w:val="true"/>
      <w:bidi w:val="0"/>
      <w:snapToGrid w:val="true"/>
      <w:spacing w:lineRule="auto" w:line="240" w:before="0" w:after="0"/>
      <w:ind w:firstLine="720"/>
      <w:jc w:val="left"/>
    </w:pPr>
    <w:rPr>
      <w:rFonts w:ascii="Arial" w:hAnsi="Arial" w:eastAsia="Times New Roman" w:cs="Arial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color w:val="000000"/>
      <w:spacing w:val="0"/>
      <w:w w:val="100"/>
      <w:kern w:val="2"/>
      <w:position w:val="0"/>
      <w:sz w:val="20"/>
      <w:sz w:val="20"/>
      <w:szCs w:val="20"/>
      <w:u w:val="none"/>
      <w:shd w:fill="auto" w:val="clear"/>
      <w:vertAlign w:val="baseline"/>
      <w:em w:val="none"/>
      <w:lang w:val="ru-RU" w:eastAsia="zh-CN" w:bidi="ar-SA"/>
    </w:rPr>
  </w:style>
  <w:style w:type="paragraph" w:styleId="2">
    <w:name w:val="Основной текст 2"/>
    <w:basedOn w:val="Normal"/>
    <w:qFormat/>
    <w:pPr>
      <w:suppressAutoHyphens w:val="true"/>
    </w:pPr>
    <w:rPr>
      <w:sz w:val="28"/>
    </w:rPr>
  </w:style>
  <w:style w:type="paragraph" w:styleId="Style25">
    <w:name w:val="Схема документа"/>
    <w:basedOn w:val="Normal"/>
    <w:qFormat/>
    <w:pPr>
      <w:shd w:val="clear" w:fill="000080"/>
      <w:suppressAutoHyphens w:val="true"/>
    </w:pPr>
    <w:rPr>
      <w:rFonts w:ascii="Tahoma" w:hAnsi="Tahoma" w:eastAsia="Tahoma" w:cs="Tahoma"/>
    </w:rPr>
  </w:style>
  <w:style w:type="numbering" w:styleId="WW8Num2">
    <w:name w:val="WW8Num2"/>
    <w:qFormat/>
  </w:style>
  <w:style w:type="numbering" w:styleId="WW8Num3">
    <w:name w:val="WW8Num3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1680</TotalTime>
  <Application>LibreOffice/7.6.7.2$Linux_X86_64 LibreOffice_project/60$Build-2</Application>
  <AppVersion>15.0000</AppVersion>
  <Pages>8</Pages>
  <Words>2320</Words>
  <Characters>17609</Characters>
  <CharactersWithSpaces>19904</CharactersWithSpaces>
  <Paragraphs>94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2025-03-18T04:34:00Z</dcterms:created>
  <dc:creator/>
  <dc:description/>
  <dc:language>ru-RU</dc:language>
  <cp:lastModifiedBy/>
  <cp:lastPrinted>2026-04-06T15:19:49Z</cp:lastPrinted>
  <dcterms:modified xsi:type="dcterms:W3CDTF">2026-04-06T17:18:34Z</dcterms:modified>
  <cp:revision>41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