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Style18"/>
        <w:rPr/>
      </w:pPr>
      <w:r>
        <w:rPr/>
        <w:t xml:space="preserve">Администрация Вилючинского городского округа </w:t>
      </w:r>
    </w:p>
    <w:p>
      <w:pPr>
        <w:pStyle w:val="Style18"/>
        <w:rPr/>
      </w:pPr>
      <w:r>
        <w:rPr/>
        <w:t>закрытого административно-территориального образования</w:t>
      </w:r>
    </w:p>
    <w:p>
      <w:pPr>
        <w:pStyle w:val="Heading1"/>
        <w:numPr>
          <w:ilvl w:val="0"/>
          <w:numId w:val="2"/>
        </w:numPr>
        <w:ind w:hanging="0" w:left="0"/>
        <w:rPr>
          <w:bCs/>
          <w:sz w:val="20"/>
        </w:rPr>
      </w:pPr>
      <w:r>
        <w:rPr>
          <w:b w:val="false"/>
          <w:bCs/>
        </w:rPr>
        <w:t>города Вилючинска Камчатского края</w:t>
      </w:r>
    </w:p>
    <w:p>
      <w:pPr>
        <w:pStyle w:val="Normal"/>
        <w:overflowPunct w:val="false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overflowPunct w:val="false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overflowPunct w:val="false"/>
        <w:jc w:val="center"/>
        <w:rPr>
          <w:b/>
          <w:bCs/>
          <w:spacing w:val="200"/>
          <w:sz w:val="48"/>
          <w:szCs w:val="20"/>
        </w:rPr>
      </w:pPr>
      <w:r>
        <w:rPr>
          <w:b/>
          <w:bCs/>
          <w:spacing w:val="200"/>
          <w:sz w:val="48"/>
          <w:szCs w:val="20"/>
        </w:rPr>
      </w:r>
    </w:p>
    <w:p>
      <w:pPr>
        <w:pStyle w:val="Heading2"/>
        <w:numPr>
          <w:ilvl w:val="1"/>
          <w:numId w:val="2"/>
        </w:numPr>
        <w:ind w:hanging="0" w:left="0"/>
        <w:rPr/>
      </w:pPr>
      <w:r>
        <w:rPr/>
        <w:t>ПОСТАНОВЛЕНИЕ</w:t>
      </w:r>
    </w:p>
    <w:p>
      <w:pPr>
        <w:pStyle w:val="Normal"/>
        <w:overflowPunct w:val="false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lang w:val="ru-RU" w:eastAsia="zh-CN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r>
    </w:p>
    <w:p>
      <w:pPr>
        <w:pStyle w:val="Normal"/>
        <w:overflowPunct w:val="false"/>
        <w:rPr/>
      </w:pPr>
      <w:r>
        <w:rPr>
          <w:rFonts w:eastAsia="Times New Roman" w:cs="Times New Roman"/>
          <w:color w:val="auto"/>
          <w:sz w:val="28"/>
          <w:szCs w:val="28"/>
          <w:u w:val="single"/>
          <w:lang w:val="ru-RU" w:eastAsia="zh-CN" w:bidi="ar-SA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u w:val="single"/>
          <w:lang w:val="ru-RU" w:eastAsia="zh-CN" w:bidi="ar-SA"/>
        </w:rPr>
        <w:t xml:space="preserve">_  </w:t>
      </w:r>
      <w:r>
        <w:rPr>
          <w:rFonts w:eastAsia="Times New Roman" w:cs="Times New Roman"/>
          <w:color w:val="auto"/>
          <w:sz w:val="28"/>
          <w:szCs w:val="28"/>
          <w:u w:val="single"/>
          <w:lang w:val="ru-RU" w:eastAsia="zh-CN" w:bidi="ar-SA"/>
        </w:rPr>
        <w:t>27.07.2026</w:t>
      </w:r>
      <w:r>
        <w:rPr>
          <w:rFonts w:eastAsia="Times New Roman" w:cs="Times New Roman"/>
          <w:color w:val="auto"/>
          <w:sz w:val="28"/>
          <w:szCs w:val="28"/>
          <w:u w:val="single"/>
          <w:lang w:val="ru-RU" w:eastAsia="zh-CN" w:bidi="ar-SA"/>
        </w:rPr>
        <w:t>__</w:t>
        <w:tab/>
      </w:r>
      <w:r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ab/>
        <w:tab/>
        <w:tab/>
        <w:tab/>
        <w:tab/>
        <w:tab/>
        <w:tab/>
        <w:tab/>
        <w:t>№__</w:t>
      </w:r>
      <w:r>
        <w:rPr>
          <w:rFonts w:eastAsia="Times New Roman" w:cs="Times New Roman"/>
          <w:color w:val="auto"/>
          <w:sz w:val="28"/>
          <w:szCs w:val="28"/>
          <w:u w:val="single"/>
          <w:lang w:val="ru-RU" w:eastAsia="zh-CN" w:bidi="ar-SA"/>
        </w:rPr>
        <w:t>649</w:t>
      </w:r>
      <w:r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__ </w:t>
      </w:r>
      <w:r>
        <w:rPr/>
        <w:t xml:space="preserve">                                                                       </w:t>
      </w:r>
      <w:r>
        <w:rPr>
          <w:sz w:val="20"/>
          <w:szCs w:val="20"/>
        </w:rPr>
        <w:tab/>
      </w:r>
    </w:p>
    <w:p>
      <w:pPr>
        <w:pStyle w:val="Style21"/>
        <w:rPr>
          <w:sz w:val="16"/>
          <w:szCs w:val="16"/>
        </w:rPr>
      </w:pPr>
      <w:r>
        <w:rPr/>
        <w:t>г. Вилючинск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Style28"/>
        <w:widowControl/>
        <w:suppressAutoHyphens w:val="true"/>
        <w:overflowPunct w:val="false"/>
        <w:bidi w:val="0"/>
        <w:ind w:hanging="0" w:left="0" w:right="5216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val="ru-RU" w:eastAsia="zh-CN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zh-CN" w:bidi="ar-SA"/>
        </w:rPr>
      </w:r>
    </w:p>
    <w:p>
      <w:pPr>
        <w:pStyle w:val="Style28"/>
        <w:widowControl/>
        <w:suppressAutoHyphens w:val="true"/>
        <w:overflowPunct w:val="false"/>
        <w:bidi w:val="0"/>
        <w:ind w:hanging="0" w:left="0" w:right="5216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val="ru-RU" w:eastAsia="zh-CN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 xml:space="preserve">О внесении изменений в муниципальную программу «Физическая культура, спорт, молодёжная политика, отдых и оздоровление детей в Вилючинском </w:t>
      </w:r>
    </w:p>
    <w:p>
      <w:pPr>
        <w:pStyle w:val="Style28"/>
        <w:widowControl/>
        <w:suppressAutoHyphens w:val="true"/>
        <w:overflowPunct w:val="false"/>
        <w:bidi w:val="0"/>
        <w:ind w:hanging="0" w:left="0" w:right="5216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val="ru-RU" w:eastAsia="zh-CN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zh-CN" w:bidi="ar-SA"/>
        </w:rPr>
        <w:t>городском округе»</w:t>
      </w:r>
    </w:p>
    <w:p>
      <w:pPr>
        <w:pStyle w:val="Normal"/>
        <w:rPr>
          <w:color w:val="000000"/>
          <w:sz w:val="14"/>
          <w:szCs w:val="14"/>
        </w:rPr>
      </w:pPr>
      <w:r>
        <w:rPr>
          <w:color w:val="000000"/>
          <w:sz w:val="14"/>
          <w:szCs w:val="14"/>
        </w:rPr>
      </w:r>
    </w:p>
    <w:p>
      <w:pPr>
        <w:pStyle w:val="Normal"/>
        <w:ind w:firstLine="709" w:right="0"/>
        <w:jc w:val="both"/>
        <w:rPr/>
      </w:pPr>
      <w:r>
        <w:rPr>
          <w:sz w:val="28"/>
          <w:szCs w:val="28"/>
        </w:rPr>
        <w:t xml:space="preserve"> </w:t>
      </w:r>
    </w:p>
    <w:p>
      <w:pPr>
        <w:pStyle w:val="Normal"/>
        <w:ind w:firstLine="709" w:right="0"/>
        <w:jc w:val="both"/>
        <w:rPr/>
      </w:pPr>
      <w:r>
        <w:rPr>
          <w:sz w:val="28"/>
          <w:szCs w:val="28"/>
        </w:rPr>
        <w:t xml:space="preserve">В соответствии со статьей 179 Бюджетного кодекса Российской Федерации, согласно постановлению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программ», </w:t>
      </w:r>
      <w:r>
        <w:rPr>
          <w:sz w:val="28"/>
          <w:szCs w:val="28"/>
          <w:shd w:fill="FFFFFF" w:val="clear"/>
        </w:rPr>
        <w:t xml:space="preserve">постановлению администрации Вилючинского городского округа от 30.12.2020 № 1202 «О внедрении целевой региональной модели дополнительного </w:t>
      </w:r>
      <w:r>
        <w:rPr>
          <w:sz w:val="28"/>
          <w:szCs w:val="28"/>
        </w:rPr>
        <w:t xml:space="preserve">образования на территории Вилючинского городского округа», на основании решения Думы Вилючинского городского округа от </w:t>
      </w:r>
      <w:r>
        <w:rPr>
          <w:b w:val="false"/>
          <w:bCs w:val="false"/>
          <w:color w:val="000000"/>
          <w:sz w:val="28"/>
          <w:szCs w:val="28"/>
          <w:u w:val="none"/>
        </w:rPr>
        <w:t>10.03.2026 № 49/11-8 «О внесении изменений в решение Думы Вилючинского городского округа от 22.12.2025 № 31/7-8 «О местном бюджете на 2026 год и на плановый период 2027 и 2028 годов»</w:t>
      </w:r>
    </w:p>
    <w:p>
      <w:pPr>
        <w:pStyle w:val="Normal"/>
        <w:ind w:firstLine="709" w:right="0"/>
        <w:jc w:val="both"/>
        <w:rPr>
          <w:b/>
          <w:bCs/>
          <w:szCs w:val="28"/>
          <w:shd w:fill="FFFFFF" w:val="clear"/>
        </w:rPr>
      </w:pPr>
      <w:r>
        <w:rPr>
          <w:b/>
          <w:bCs/>
          <w:szCs w:val="28"/>
          <w:shd w:fill="FFFFFF" w:val="clear"/>
        </w:rPr>
      </w:r>
    </w:p>
    <w:p>
      <w:pPr>
        <w:pStyle w:val="Normal"/>
        <w:ind w:firstLine="709" w:right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ПОСТАНОВЛЯЮ:</w:t>
      </w:r>
    </w:p>
    <w:p>
      <w:pPr>
        <w:pStyle w:val="BodyTextIndent"/>
        <w:ind w:hanging="0" w:left="0" w:right="0"/>
        <w:rPr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212"/>
        <w:numPr>
          <w:ilvl w:val="0"/>
          <w:numId w:val="3"/>
        </w:numPr>
        <w:tabs>
          <w:tab w:val="clear" w:pos="708"/>
          <w:tab w:val="left" w:pos="993" w:leader="none"/>
        </w:tabs>
        <w:spacing w:before="0" w:after="0"/>
        <w:ind w:firstLine="709" w:left="0" w:right="0"/>
        <w:contextualSpacing/>
        <w:rPr>
          <w:vanish/>
          <w:color w:val="000000"/>
          <w:szCs w:val="28"/>
        </w:rPr>
      </w:pPr>
      <w:r>
        <w:rPr>
          <w:vanish/>
          <w:color w:val="000000"/>
          <w:szCs w:val="28"/>
        </w:rPr>
        <w:t>Внести в муниципальную программу «Физическая культура, спорт, молодежная политика, отдых и оздоровление детей в Вилючинском городском округе»</w:t>
      </w:r>
      <w:r>
        <w:rPr>
          <w:vanish/>
          <w:color w:val="000000"/>
          <w:szCs w:val="28"/>
          <w:lang w:val="ru-RU"/>
        </w:rPr>
        <w:t xml:space="preserve"> (далее – Программа)</w:t>
      </w:r>
      <w:r>
        <w:rPr>
          <w:vanish/>
          <w:color w:val="000000"/>
          <w:szCs w:val="28"/>
        </w:rPr>
        <w:t>, утвержденную постановлением администрации Вилючинского городского округа от 14.12.2015 № 1573, следующие изменения:</w:t>
      </w:r>
    </w:p>
    <w:tbl>
      <w:tblPr>
        <w:tblW w:w="960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48"/>
        <w:gridCol w:w="5705"/>
      </w:tblGrid>
      <w:tr>
        <w:trPr>
          <w:trHeight w:val="836" w:hRule="atLeast"/>
        </w:trPr>
        <w:tc>
          <w:tcPr>
            <w:tcW w:w="9605" w:type="dxa"/>
            <w:gridSpan w:val="3"/>
            <w:tcBorders/>
          </w:tcPr>
          <w:p>
            <w:pPr>
              <w:pStyle w:val="212"/>
              <w:numPr>
                <w:ilvl w:val="0"/>
                <w:numId w:val="2"/>
              </w:numPr>
              <w:tabs>
                <w:tab w:val="clear" w:pos="708"/>
                <w:tab w:val="left" w:pos="993" w:leader="none"/>
              </w:tabs>
              <w:spacing w:before="0" w:after="0"/>
              <w:ind w:firstLine="709" w:left="0" w:right="0"/>
              <w:contextualSpacing/>
              <w:rPr>
                <w:b/>
                <w:bCs/>
                <w:szCs w:val="28"/>
              </w:rPr>
            </w:pPr>
            <w:r>
              <w:rPr>
                <w:color w:val="000000"/>
              </w:rPr>
              <w:t>1. Внести в муниципальную программу «</w:t>
            </w:r>
            <w:r>
              <w:rPr/>
              <w:t>Физическая культура, спорт, молодежная политика, отдых и оздоровление детей в Вилючинском городском округе</w:t>
            </w:r>
            <w:r>
              <w:rPr>
                <w:color w:val="000000"/>
              </w:rPr>
              <w:t>»</w:t>
            </w:r>
            <w:r>
              <w:rPr>
                <w:color w:val="000000"/>
                <w:lang w:val="ru-RU"/>
              </w:rPr>
              <w:t xml:space="preserve"> (далее – Программа)</w:t>
            </w:r>
            <w:r>
              <w:rPr>
                <w:color w:val="000000"/>
              </w:rPr>
              <w:t>, утвержденную постановлением администрации Вилючинского городского округа от 14.12.2015 № 1573, следующие изменения:</w:t>
            </w:r>
          </w:p>
        </w:tc>
      </w:tr>
      <w:tr>
        <w:trPr>
          <w:trHeight w:val="836" w:hRule="atLeast"/>
        </w:trPr>
        <w:tc>
          <w:tcPr>
            <w:tcW w:w="9605" w:type="dxa"/>
            <w:gridSpan w:val="3"/>
            <w:tcBorders/>
          </w:tcPr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1.1. раздел «Объемы и источники финансирования Программы в разрезе источников финансирования» Паспорта Программы изложить в следующей редакции:</w:t>
            </w:r>
          </w:p>
        </w:tc>
      </w:tr>
      <w:tr>
        <w:trPr>
          <w:trHeight w:val="836" w:hRule="atLeast"/>
        </w:trPr>
        <w:tc>
          <w:tcPr>
            <w:tcW w:w="3900" w:type="dxa"/>
            <w:gridSpan w:val="2"/>
            <w:tcBorders/>
          </w:tcPr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before="0" w:after="0"/>
              <w:ind w:hanging="0" w:left="0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 xml:space="preserve">   </w:t>
            </w:r>
            <w:r>
              <w:rPr>
                <w:color w:val="000000"/>
                <w:sz w:val="28"/>
                <w:szCs w:val="30"/>
              </w:rPr>
              <w:t>«Объемы и источники финансирования Программы в разрезе источников финансирования</w:t>
            </w:r>
          </w:p>
        </w:tc>
        <w:tc>
          <w:tcPr>
            <w:tcW w:w="5705" w:type="dxa"/>
            <w:tcBorders/>
          </w:tcPr>
          <w:p>
            <w:pPr>
              <w:pStyle w:val="Normal"/>
              <w:overflowPunct w:val="false"/>
              <w:spacing w:before="0" w:after="0"/>
              <w:ind w:firstLine="567" w:left="198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Общий объем финансирования программы составляет 1 402 012,01507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2018 год – 82 837,08485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2019 год – 89 154,19378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2020 год – 82 975,06875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2021 год – 90 761,10020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2022 год – 143 848,13163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2023 год – 129 355,04906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2024 год – 104 725,84446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2025 год – 130 207,00479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2026 год – 154 846,33628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2027 год – 129 384,80132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2028 год – 131 285,34807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2029 год – 132 632,05188 тыс. руб.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- федерального бюджета 51 983,81996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2018 год – 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2019 год – 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2020 год – 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2021 год – 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2022 год – 26 000,00000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2023 год – 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2024 год – 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2025 год – 0,00000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2026 год – 23 403,04286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2027 год – 748,11996 тыс. руб.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2028 год – 916,32857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2029 год – 916,32857 тыс. руб.</w:t>
            </w:r>
          </w:p>
        </w:tc>
      </w:tr>
      <w:tr>
        <w:trPr>
          <w:trHeight w:val="145" w:hRule="atLeast"/>
        </w:trPr>
        <w:tc>
          <w:tcPr>
            <w:tcW w:w="3652" w:type="dxa"/>
            <w:tcBorders/>
          </w:tcPr>
          <w:p>
            <w:pPr>
              <w:pStyle w:val="Normal"/>
              <w:tabs>
                <w:tab w:val="clear" w:pos="708"/>
                <w:tab w:val="left" w:pos="1276" w:leader="none"/>
              </w:tabs>
              <w:overflowPunct w:val="false"/>
              <w:snapToGrid w:val="false"/>
              <w:ind w:firstLine="709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5953" w:type="dxa"/>
            <w:gridSpan w:val="2"/>
            <w:tcBorders/>
          </w:tcPr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ru-RU"/>
              </w:rPr>
              <w:t xml:space="preserve">- краевого бюджета </w:t>
            </w:r>
            <w:r>
              <w:rPr>
                <w:sz w:val="28"/>
                <w:szCs w:val="28"/>
              </w:rPr>
              <w:t xml:space="preserve">340 510,61674 </w:t>
            </w:r>
            <w:r>
              <w:rPr>
                <w:sz w:val="28"/>
                <w:szCs w:val="28"/>
                <w:lang w:val="ru-RU"/>
              </w:rPr>
              <w:t>тыс. руб., из них по годам: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31 166,25782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31 587,11237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27 956,58000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23 881,00400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– 23 099,22203 тыс. руб.;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  <w:lang w:eastAsia="en-US"/>
              </w:rPr>
              <w:t>2023 год – 26 149,93500 тыс. руб.;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  <w:lang w:eastAsia="en-US"/>
              </w:rPr>
              <w:t>2024 год – 25 635,00000 тыс. руб.;</w:t>
            </w:r>
          </w:p>
          <w:p>
            <w:pPr>
              <w:pStyle w:val="ConsPlusNonformat"/>
              <w:widowControl/>
              <w:ind w:firstLine="709" w:right="-18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en-US"/>
              </w:rPr>
              <w:t>2025 год – 27 296,00000 тыс. руб.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;</w:t>
            </w:r>
          </w:p>
          <w:p>
            <w:pPr>
              <w:pStyle w:val="ConsPlusNonformat"/>
              <w:widowControl/>
              <w:ind w:firstLine="709" w:right="-18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en-US"/>
              </w:rPr>
              <w:t>2026 год – 32 008,81124 тыс. руб.;</w:t>
            </w:r>
          </w:p>
          <w:p>
            <w:pPr>
              <w:pStyle w:val="ConsPlusNonformat"/>
              <w:widowControl/>
              <w:ind w:firstLine="709" w:right="-18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2027 год – 30 562,75234 тыс. руб.</w:t>
            </w:r>
          </w:p>
          <w:p>
            <w:pPr>
              <w:pStyle w:val="ConsPlusNonformat"/>
              <w:widowControl/>
              <w:ind w:firstLine="709" w:right="-18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2028 год – 30 583,97097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2029 год – 30 583,97097 тыс. руб.</w:t>
            </w:r>
          </w:p>
          <w:p>
            <w:pPr>
              <w:pStyle w:val="ConsPlusNonformat"/>
              <w:widowControl/>
              <w:ind w:firstLine="709" w:right="-185"/>
              <w:rPr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местного бюджета 1 008 018,35263 тыс. руб., из них по годам: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50 527,45203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57 567,08141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55 018,48875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66 524,24546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– 94 748,90960 тыс. руб.;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  <w:lang w:eastAsia="en-US"/>
              </w:rPr>
              <w:t>2023 год – 103 205,11406 тыс. руб.;</w:t>
            </w:r>
          </w:p>
          <w:p>
            <w:pPr>
              <w:pStyle w:val="Normal"/>
              <w:ind w:firstLine="709" w:right="0"/>
              <w:jc w:val="both"/>
              <w:rPr>
                <w:color w:val="000000"/>
                <w:sz w:val="28"/>
                <w:szCs w:val="30"/>
              </w:rPr>
            </w:pPr>
            <w:r>
              <w:rPr>
                <w:sz w:val="28"/>
                <w:szCs w:val="28"/>
                <w:lang w:eastAsia="en-US"/>
              </w:rPr>
              <w:t>2024 год – 79 090,84446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2025 год – 102 911,00479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2026 год – 99 434,48218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98 073,92902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99 785,04853 тыс. руб.;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sz w:val="28"/>
                <w:szCs w:val="28"/>
              </w:rPr>
              <w:t>2029 год – 101 131,75234 тыс. руб.</w:t>
            </w:r>
          </w:p>
          <w:p>
            <w:pPr>
              <w:pStyle w:val="ConsPlusNonformat"/>
              <w:widowControl/>
              <w:ind w:firstLine="709" w:right="0"/>
              <w:rPr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привлеченные средства (по согласованию) 1 499,22574 тыс. руб., из них по годам: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1 143,37500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355,85074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2025 год – 0,00000 тыс. руб.;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  <w:lang w:eastAsia="en-US"/>
              </w:rPr>
              <w:t>2026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2027 год – 0,00000 тыс. руб.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2028 год – 0,00000 тыс. руб.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  <w:lang w:eastAsia="en-US"/>
              </w:rPr>
              <w:t>2029 год – 0,00000 тыс. руб.»</w:t>
            </w:r>
          </w:p>
        </w:tc>
      </w:tr>
    </w:tbl>
    <w:p>
      <w:pPr>
        <w:pStyle w:val="Normal"/>
        <w:tabs>
          <w:tab w:val="clear" w:pos="708"/>
          <w:tab w:val="left" w:pos="1276" w:leader="none"/>
        </w:tabs>
        <w:ind w:firstLine="709"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0"/>
        </w:rPr>
        <w:t>1.2. раздел «Объемы и источники финансирования Подпрограммы 1 в разрезе источников финансирования» Паспорта Подпрограммы 1 изложить в следующей редакции:</w:t>
      </w:r>
    </w:p>
    <w:tbl>
      <w:tblPr>
        <w:tblW w:w="9872" w:type="dxa"/>
        <w:jc w:val="left"/>
        <w:tblInd w:w="-14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"/>
        <w:gridCol w:w="3762"/>
        <w:gridCol w:w="30"/>
        <w:gridCol w:w="5775"/>
        <w:gridCol w:w="276"/>
      </w:tblGrid>
      <w:tr>
        <w:trPr>
          <w:trHeight w:val="1454" w:hRule="atLeast"/>
        </w:trPr>
        <w:tc>
          <w:tcPr>
            <w:tcW w:w="29" w:type="dxa"/>
            <w:tcBorders/>
          </w:tcPr>
          <w:p>
            <w:pPr>
              <w:pStyle w:val="Style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792" w:type="dxa"/>
            <w:gridSpan w:val="2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tabs>
                <w:tab w:val="clear" w:pos="708"/>
                <w:tab w:val="left" w:pos="0" w:leader="none"/>
              </w:tabs>
              <w:overflowPunct w:val="false"/>
              <w:ind w:firstLine="709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«Объемы и источники финансирования Подпрограммы 1 в разрезе источников финансирования</w:t>
            </w:r>
          </w:p>
        </w:tc>
        <w:tc>
          <w:tcPr>
            <w:tcW w:w="6051" w:type="dxa"/>
            <w:gridSpan w:val="2"/>
            <w:tcBorders/>
            <w:tcMar>
              <w:left w:w="108" w:type="dxa"/>
              <w:right w:w="108" w:type="dxa"/>
            </w:tcMar>
          </w:tcPr>
          <w:p>
            <w:pPr>
              <w:pStyle w:val="ConsPlusNonformat"/>
              <w:widowControl/>
              <w:ind w:firstLine="607" w:right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Общий объем финансирования П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одп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рограммы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составляет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1 373 904,38311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тыс. руб.,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из них по годам:</w:t>
            </w:r>
          </w:p>
        </w:tc>
      </w:tr>
      <w:tr>
        <w:trPr>
          <w:trHeight w:val="429" w:hRule="atLeast"/>
        </w:trPr>
        <w:tc>
          <w:tcPr>
            <w:tcW w:w="3791" w:type="dxa"/>
            <w:gridSpan w:val="2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tabs>
                <w:tab w:val="clear" w:pos="708"/>
                <w:tab w:val="left" w:pos="1276" w:leader="none"/>
              </w:tabs>
              <w:overflowPunct w:val="false"/>
              <w:snapToGrid w:val="false"/>
              <w:ind w:firstLine="709" w:left="426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5805" w:type="dxa"/>
            <w:gridSpan w:val="2"/>
            <w:tcBorders/>
            <w:tcMar>
              <w:left w:w="108" w:type="dxa"/>
              <w:right w:w="108" w:type="dxa"/>
            </w:tcMar>
          </w:tcPr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 год – 71 055,03514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 год – 77 706,38835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 год – 82 725,76875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 год – 87 839,06838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 год – 143 341,48163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 год – 128 955,74906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2024 год – 104 557,84446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2025 год – 129 896,47979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2026 год – 154 524,36628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202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год –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129 384,80132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тыс. руб.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202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год –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131 285,34807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тыс. руб.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202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год –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132 632,05188 тыс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. руб.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в том числе за счет средств:</w:t>
            </w:r>
          </w:p>
          <w:p>
            <w:pPr>
              <w:pStyle w:val="ConsPlusNonformat"/>
              <w:ind w:firstLine="709" w:right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федерального бюджета 51 983,81996 тыс. руб., из них по годам: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 год – 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 год – 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 год – 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 год – 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 год – 26 000,00000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 год – 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2024 год – 0,00000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2025 год – 0,00000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2026 год – 23403,04286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2027 год –748,11996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2028 год – 916,32857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2029 год – 916,32857 тыс. руб.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ru-RU"/>
              </w:rPr>
              <w:t xml:space="preserve">- краевого бюджета </w:t>
            </w:r>
            <w:r>
              <w:rPr>
                <w:sz w:val="28"/>
                <w:szCs w:val="28"/>
              </w:rPr>
              <w:t xml:space="preserve">328 892,62655 </w:t>
            </w:r>
            <w:r>
              <w:rPr>
                <w:sz w:val="28"/>
                <w:szCs w:val="28"/>
                <w:lang w:val="ru-RU"/>
              </w:rPr>
              <w:t>тыс. руб., из них по годам: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25 564,90000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25 570,48000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27 956,58000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23 881,00400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– 23 099,22203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eastAsia="en-US"/>
              </w:rPr>
              <w:t>2023 год – 26 149,93500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  <w:r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  <w:lang w:val="ru-RU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25 635,00000 </w:t>
            </w:r>
            <w:r>
              <w:rPr>
                <w:sz w:val="28"/>
                <w:szCs w:val="28"/>
                <w:lang w:val="ru-RU"/>
              </w:rPr>
              <w:t>тыс. руб.</w:t>
            </w:r>
            <w:r>
              <w:rPr>
                <w:sz w:val="28"/>
                <w:szCs w:val="28"/>
              </w:rPr>
              <w:t>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  <w:lang w:eastAsia="en-US"/>
              </w:rPr>
              <w:t>2025 год – 27 296,00000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2026 год –32 008,81124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30 562,75234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30 583,97097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30 583,97097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местного бюджета 993 027,93660 тыс. руб., из них по годам: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45 490,13514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52 135,90835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54 769,18875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63 958,06438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– 94 242,25960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eastAsia="en-US"/>
              </w:rPr>
              <w:t>2023 год – 102 805,81406 тыс. руб.;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  <w:lang w:val="ru-RU"/>
              </w:rPr>
              <w:t>20</w:t>
            </w:r>
            <w:r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  <w:lang w:val="ru-RU"/>
              </w:rPr>
              <w:t xml:space="preserve"> год – </w:t>
            </w:r>
            <w:r>
              <w:rPr>
                <w:sz w:val="28"/>
                <w:szCs w:val="28"/>
              </w:rPr>
              <w:t>78 922,84446</w:t>
            </w:r>
            <w:r>
              <w:rPr>
                <w:sz w:val="28"/>
                <w:szCs w:val="28"/>
                <w:lang w:val="ru-RU"/>
              </w:rPr>
              <w:t xml:space="preserve"> тыс. руб.</w:t>
            </w:r>
            <w:r>
              <w:rPr>
                <w:sz w:val="28"/>
                <w:szCs w:val="28"/>
              </w:rPr>
              <w:t>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</w:rPr>
              <w:t xml:space="preserve">2025 год </w:t>
            </w:r>
            <w:r>
              <w:rPr>
                <w:sz w:val="28"/>
                <w:szCs w:val="28"/>
                <w:lang w:val="ru-RU"/>
              </w:rPr>
              <w:t>–</w:t>
            </w:r>
            <w:r>
              <w:rPr>
                <w:sz w:val="28"/>
                <w:szCs w:val="28"/>
              </w:rPr>
              <w:t xml:space="preserve"> 102 600,47979 тыс. руб.;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</w:rPr>
              <w:t>2026 год – 99 112,51218 тыс. руб.;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</w:rPr>
              <w:t>2027 год – 98 073,92902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99 785,04853 тыс. руб.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</w:rPr>
              <w:t>2029 год – 101 131,75234 тыс. руб.»</w:t>
            </w:r>
          </w:p>
        </w:tc>
        <w:tc>
          <w:tcPr>
            <w:tcW w:w="276" w:type="dxa"/>
            <w:tcBorders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ind w:firstLine="567" w:righ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 xml:space="preserve">1.3. </w:t>
      </w:r>
      <w:r>
        <w:rPr>
          <w:sz w:val="28"/>
          <w:szCs w:val="28"/>
        </w:rPr>
        <w:t>раздел «Объемы и источники финансирования Подпрограммы 3 в разрезе источников финансирования» Паспорта Подпрограммы 3 изложить в следующей редакции:</w:t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5"/>
        <w:gridCol w:w="6238"/>
      </w:tblGrid>
      <w:tr>
        <w:trPr/>
        <w:tc>
          <w:tcPr>
            <w:tcW w:w="3615" w:type="dxa"/>
            <w:tcBorders/>
          </w:tcPr>
          <w:p>
            <w:pPr>
              <w:pStyle w:val="Normal"/>
              <w:tabs>
                <w:tab w:val="clear" w:pos="708"/>
                <w:tab w:val="left" w:pos="1276" w:leader="none"/>
              </w:tabs>
              <w:ind w:firstLine="709" w:right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«Объемы и источники   финансирования Подпрограммы 3 в разрезе источников финансирования</w:t>
            </w:r>
          </w:p>
        </w:tc>
        <w:tc>
          <w:tcPr>
            <w:tcW w:w="6238" w:type="dxa"/>
            <w:tcBorders/>
          </w:tcPr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Общий объем финансирования Подпрограммы 3 за счет всех источников финансирования составляет 3 395,46200 тыс. руб., из них по годам: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2018 год – 526,47700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2019 год – 424,10000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2020 год – 230,300000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2021 год – 603,14000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2022 год – 487,65000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2023 год – 380,30000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2024 год – 149,00000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2025 год – 291,52500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2026 год – 302,97000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0,00000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0,00000 тыс. руб.</w:t>
            </w:r>
          </w:p>
          <w:p>
            <w:pPr>
              <w:pStyle w:val="Normal"/>
              <w:widowControl w:val="false"/>
              <w:overflowPunct w:val="false"/>
              <w:ind w:firstLine="1026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за счет средств:</w:t>
            </w:r>
          </w:p>
          <w:p>
            <w:pPr>
              <w:pStyle w:val="Normal"/>
              <w:widowControl w:val="false"/>
              <w:overflowPunct w:val="false"/>
              <w:ind w:firstLine="1026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федерального бюджета 0,00000 тыс. руб.,</w:t>
            </w:r>
          </w:p>
          <w:p>
            <w:pPr>
              <w:pStyle w:val="Normal"/>
              <w:widowControl w:val="false"/>
              <w:overflowPunct w:val="false"/>
              <w:ind w:firstLine="1026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краевого бюджета 0,00000 тыс. руб.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01" w:leader="none"/>
              </w:tabs>
              <w:overflowPunct w:val="false"/>
              <w:ind w:firstLine="851" w:left="175" w:right="0"/>
              <w:textAlignment w:val="baseline"/>
              <w:rPr/>
            </w:pPr>
            <w:r>
              <w:rPr>
                <w:sz w:val="28"/>
                <w:szCs w:val="28"/>
              </w:rPr>
              <w:t>- местного бюджета 3 395,46200 тыс. руб., из них по годам: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526,47700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424,10000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230,300000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603,14000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487,65000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380,30000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149,00000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291,52500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302,97000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2028 год – 0,00000 тыс. руб.;</w:t>
            </w:r>
          </w:p>
          <w:p>
            <w:pPr>
              <w:pStyle w:val="Normal"/>
              <w:widowControl w:val="false"/>
              <w:overflowPunct w:val="fals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2029 год – 0,00000 тыс. руб.</w:t>
            </w:r>
          </w:p>
        </w:tc>
      </w:tr>
    </w:tbl>
    <w:p>
      <w:pPr>
        <w:pStyle w:val="Normal"/>
        <w:tabs>
          <w:tab w:val="clear" w:pos="708"/>
          <w:tab w:val="left" w:pos="0" w:leader="none"/>
        </w:tabs>
        <w:overflowPunct w:val="false"/>
        <w:ind w:firstLine="709" w:right="0"/>
        <w:jc w:val="both"/>
        <w:rPr/>
      </w:pPr>
      <w:r>
        <w:rPr>
          <w:color w:val="000000"/>
          <w:sz w:val="28"/>
          <w:szCs w:val="28"/>
        </w:rPr>
        <w:t>1.4. приложение № 1 к Программе изложить в редакции согласно приложению к настоящему постановлению.</w:t>
      </w:r>
    </w:p>
    <w:p>
      <w:pPr>
        <w:pStyle w:val="212"/>
        <w:tabs>
          <w:tab w:val="clear" w:pos="708"/>
          <w:tab w:val="left" w:pos="709" w:leader="none"/>
        </w:tabs>
        <w:ind w:hanging="0" w:left="0" w:right="0"/>
        <w:rPr>
          <w:szCs w:val="28"/>
          <w:lang w:val="ru-RU"/>
        </w:rPr>
      </w:pPr>
      <w:r>
        <w:rPr>
          <w:szCs w:val="28"/>
          <w:lang w:val="ru-RU"/>
        </w:rPr>
        <w:tab/>
        <w:t>2. Директору муниципального казенного учреждения «Ресурсно-информационный центр» Вилючинского городского округа  О.Ю. Трофимовой опубликовать настоящее постановление в «Вилючинская газета. Официальные известия Вилючинского городского округа ЗАТО г. Вилючинск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-142" w:leader="none"/>
        </w:tabs>
        <w:spacing w:lineRule="atLeast" w:line="240"/>
        <w:jc w:val="both"/>
        <w:rPr>
          <w:sz w:val="28"/>
          <w:szCs w:val="28"/>
        </w:rPr>
      </w:pPr>
      <w:r>
        <w:rPr>
          <w:szCs w:val="28"/>
        </w:rPr>
        <w:tab/>
      </w:r>
      <w:r>
        <w:rPr>
          <w:sz w:val="28"/>
          <w:szCs w:val="28"/>
        </w:rPr>
        <w:t xml:space="preserve">3. Настоящее постановление вступает в силу после дня его официального опубликования и распространяется на правовые отношения, возникшие с </w:t>
      </w:r>
      <w:r>
        <w:rPr>
          <w:sz w:val="28"/>
          <w:szCs w:val="28"/>
          <w:shd w:fill="auto" w:val="clear"/>
        </w:rPr>
        <w:t>18.03.2026.</w:t>
      </w:r>
    </w:p>
    <w:p>
      <w:pPr>
        <w:pStyle w:val="212"/>
        <w:tabs>
          <w:tab w:val="clear" w:pos="708"/>
          <w:tab w:val="left" w:pos="709" w:leader="none"/>
        </w:tabs>
        <w:ind w:hanging="0" w:left="0" w:right="0"/>
        <w:rPr/>
      </w:pPr>
      <w:r>
        <w:rPr>
          <w:szCs w:val="28"/>
          <w:lang w:val="ru-RU"/>
        </w:rPr>
        <w:tab/>
        <w:t>4. Контроль за исполнением настоящего постановления возложить на начальника управления социальной политики администрации Вилючинского городского округа В.Ю. Фролову.</w:t>
      </w:r>
    </w:p>
    <w:p>
      <w:pPr>
        <w:pStyle w:val="212"/>
        <w:tabs>
          <w:tab w:val="clear" w:pos="708"/>
          <w:tab w:val="left" w:pos="993" w:leader="none"/>
        </w:tabs>
        <w:ind w:firstLine="709" w:left="0" w:right="0"/>
        <w:rPr>
          <w:b/>
          <w:szCs w:val="28"/>
          <w:lang w:val="ru-RU"/>
        </w:rPr>
      </w:pPr>
      <w:r>
        <w:rPr>
          <w:b/>
          <w:szCs w:val="28"/>
          <w:lang w:val="ru-RU"/>
        </w:rPr>
      </w:r>
    </w:p>
    <w:p>
      <w:pPr>
        <w:pStyle w:val="Normal"/>
        <w:widowControl w:val="false"/>
        <w:suppressAutoHyphens w:val="false"/>
        <w:overflowPunct w:val="false"/>
        <w:textAlignment w:val="baseline"/>
        <w:rPr/>
      </w:pPr>
      <w:r>
        <w:rPr>
          <w:b/>
          <w:sz w:val="28"/>
          <w:szCs w:val="28"/>
          <w:lang w:eastAsia="ru-RU"/>
        </w:rPr>
        <w:t>Главы Вилючинского</w:t>
      </w:r>
    </w:p>
    <w:p>
      <w:pPr>
        <w:pStyle w:val="Normal"/>
        <w:tabs>
          <w:tab w:val="clear" w:pos="708"/>
          <w:tab w:val="left" w:pos="8080" w:leader="none"/>
        </w:tabs>
        <w:rPr/>
      </w:pPr>
      <w:r>
        <w:rPr>
          <w:b/>
          <w:sz w:val="28"/>
          <w:szCs w:val="28"/>
          <w:lang w:eastAsia="ru-RU"/>
        </w:rPr>
        <w:t>городского округа                                                                         О.С. Бондаренко</w:t>
      </w:r>
    </w:p>
    <w:p>
      <w:pPr>
        <w:pStyle w:val="Normal"/>
        <w:tabs>
          <w:tab w:val="clear" w:pos="708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/>
      </w:r>
    </w:p>
    <w:sectPr>
      <w:headerReference w:type="default" r:id="rId2"/>
      <w:type w:val="nextPage"/>
      <w:pgSz w:w="11906" w:h="16838"/>
      <w:pgMar w:left="1701" w:right="567" w:gutter="0" w:header="1134" w:top="1560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Verdana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lang w:val="ru-RU"/>
      </w:rPr>
    </w:lvl>
    <w:lvl w:ilvl="1">
      <w:start w:val="1"/>
      <w:numFmt w:val="decimal"/>
      <w:lvlText w:val="%2.1."/>
      <w:lvlJc w:val="left"/>
      <w:pPr>
        <w:tabs>
          <w:tab w:val="num" w:pos="0"/>
        </w:tabs>
        <w:ind w:left="2275" w:hanging="114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20" w:hanging="114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20" w:hanging="114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20" w:hanging="114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2"/>
      </w:numPr>
      <w:overflowPunct w:val="false"/>
      <w:jc w:val="center"/>
      <w:outlineLvl w:val="0"/>
    </w:pPr>
    <w:rPr>
      <w:b/>
      <w:smallCaps/>
      <w:sz w:val="28"/>
      <w:szCs w:val="20"/>
      <w:lang w:val="ru-RU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2"/>
      </w:numPr>
      <w:overflowPunct w:val="false"/>
      <w:jc w:val="center"/>
      <w:outlineLvl w:val="1"/>
    </w:pPr>
    <w:rPr>
      <w:b/>
      <w:spacing w:val="200"/>
      <w:sz w:val="40"/>
      <w:szCs w:val="20"/>
      <w:lang w:val="ru-RU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2"/>
      </w:numPr>
      <w:outlineLvl w:val="2"/>
    </w:pPr>
    <w:rPr>
      <w:b/>
      <w:bCs/>
      <w:sz w:val="28"/>
    </w:rPr>
  </w:style>
  <w:style w:type="character" w:styleId="WW8Num2z0">
    <w:name w:val="WW8Num2z0"/>
    <w:qFormat/>
    <w:rPr>
      <w:lang w:val="ru-RU"/>
    </w:rPr>
  </w:style>
  <w:style w:type="character" w:styleId="WW8Num2z1">
    <w:name w:val="WW8Num2z1"/>
    <w:qFormat/>
    <w:rPr/>
  </w:style>
  <w:style w:type="character" w:styleId="WW8Num1z0">
    <w:name w:val="WW8Num1z0"/>
    <w:qFormat/>
    <w:rPr>
      <w:lang w:val="ru-RU"/>
    </w:rPr>
  </w:style>
  <w:style w:type="character" w:styleId="WW8Num1z1">
    <w:name w:val="WW8Num1z1"/>
    <w:qFormat/>
    <w:rPr/>
  </w:style>
  <w:style w:type="character" w:styleId="1">
    <w:name w:val="Основной шрифт абзаца1"/>
    <w:qFormat/>
    <w:rPr/>
  </w:style>
  <w:style w:type="character" w:styleId="Style11">
    <w:name w:val="Гипертекстовая ссылка"/>
    <w:qFormat/>
    <w:rPr>
      <w:b/>
      <w:bCs/>
      <w:color w:val="008000"/>
    </w:rPr>
  </w:style>
  <w:style w:type="character" w:styleId="Style12">
    <w:name w:val="Основной текст_"/>
    <w:qFormat/>
    <w:rPr>
      <w:sz w:val="27"/>
      <w:szCs w:val="27"/>
      <w:shd w:fill="FFFFFF" w:val="clear"/>
    </w:rPr>
  </w:style>
  <w:style w:type="character" w:styleId="Style13">
    <w:name w:val="Верхний колонтитул Знак"/>
    <w:qFormat/>
    <w:rPr>
      <w:sz w:val="24"/>
      <w:szCs w:val="24"/>
    </w:rPr>
  </w:style>
  <w:style w:type="character" w:styleId="Style14">
    <w:name w:val="Нижний колонтитул Знак"/>
    <w:qFormat/>
    <w:rPr>
      <w:sz w:val="24"/>
      <w:szCs w:val="24"/>
    </w:rPr>
  </w:style>
  <w:style w:type="character" w:styleId="Style15">
    <w:name w:val="Текст выноски Знак"/>
    <w:qFormat/>
    <w:rPr>
      <w:rFonts w:ascii="Tahoma" w:hAnsi="Tahoma" w:cs="Tahoma"/>
      <w:sz w:val="16"/>
      <w:szCs w:val="16"/>
    </w:rPr>
  </w:style>
  <w:style w:type="character" w:styleId="11">
    <w:name w:val="Заголовок 1 Знак"/>
    <w:qFormat/>
    <w:rPr>
      <w:b/>
      <w:smallCaps/>
      <w:sz w:val="28"/>
    </w:rPr>
  </w:style>
  <w:style w:type="character" w:styleId="2">
    <w:name w:val="Заголовок 2 Знак"/>
    <w:qFormat/>
    <w:rPr>
      <w:b/>
      <w:spacing w:val="200"/>
      <w:sz w:val="40"/>
    </w:rPr>
  </w:style>
  <w:style w:type="character" w:styleId="Style16">
    <w:name w:val="Название Знак"/>
    <w:qFormat/>
    <w:rPr>
      <w:bCs/>
      <w:smallCaps/>
      <w:sz w:val="28"/>
    </w:rPr>
  </w:style>
  <w:style w:type="character" w:styleId="Style17">
    <w:name w:val="Основной текст с отступом Знак"/>
    <w:qFormat/>
    <w:rPr>
      <w:sz w:val="28"/>
      <w:szCs w:val="24"/>
    </w:rPr>
  </w:style>
  <w:style w:type="character" w:styleId="21">
    <w:name w:val="Основной текст с отступом 2 Знак"/>
    <w:qFormat/>
    <w:rPr>
      <w:sz w:val="28"/>
      <w:szCs w:val="24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  <w:lang w:val="ru-RU"/>
    </w:rPr>
  </w:style>
  <w:style w:type="paragraph" w:styleId="Style18">
    <w:name w:val="Заголовок"/>
    <w:basedOn w:val="Normal"/>
    <w:next w:val="BodyText"/>
    <w:qFormat/>
    <w:pPr>
      <w:overflowPunct w:val="false"/>
      <w:jc w:val="center"/>
    </w:pPr>
    <w:rPr>
      <w:bCs/>
      <w:smallCaps/>
      <w:sz w:val="28"/>
      <w:szCs w:val="20"/>
      <w:lang w:val="ru-RU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;Courier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Style20">
    <w:name w:val="Название объекта"/>
    <w:basedOn w:val="Normal"/>
    <w:qFormat/>
    <w:pPr>
      <w:suppressLineNumbers/>
      <w:spacing w:before="120" w:after="120"/>
    </w:pPr>
    <w:rPr>
      <w:rFonts w:cs="Mangal;Courier New"/>
      <w:i/>
      <w:iCs/>
      <w:sz w:val="24"/>
      <w:szCs w:val="24"/>
    </w:rPr>
  </w:style>
  <w:style w:type="paragraph" w:styleId="12">
    <w:name w:val="Указатель1"/>
    <w:basedOn w:val="Normal"/>
    <w:qFormat/>
    <w:pPr>
      <w:suppressLineNumbers/>
    </w:pPr>
    <w:rPr>
      <w:rFonts w:cs="Mangal;Courier New"/>
    </w:rPr>
  </w:style>
  <w:style w:type="paragraph" w:styleId="BodyTextIndent">
    <w:name w:val="Body Text Indent"/>
    <w:basedOn w:val="Normal"/>
    <w:pPr>
      <w:ind w:firstLine="900" w:left="0" w:right="0"/>
    </w:pPr>
    <w:rPr>
      <w:sz w:val="28"/>
      <w:lang w:val="ru-RU"/>
    </w:rPr>
  </w:style>
  <w:style w:type="paragraph" w:styleId="211">
    <w:name w:val="Основной текст 21"/>
    <w:basedOn w:val="Normal"/>
    <w:qFormat/>
    <w:pPr>
      <w:overflowPunct w:val="false"/>
      <w:jc w:val="center"/>
    </w:pPr>
    <w:rPr>
      <w:sz w:val="28"/>
      <w:szCs w:val="20"/>
    </w:rPr>
  </w:style>
  <w:style w:type="paragraph" w:styleId="212">
    <w:name w:val="Основной текст с отступом 21"/>
    <w:basedOn w:val="Normal"/>
    <w:qFormat/>
    <w:pPr>
      <w:ind w:firstLine="900" w:left="0" w:right="0"/>
      <w:jc w:val="both"/>
    </w:pPr>
    <w:rPr>
      <w:sz w:val="28"/>
      <w:lang w:val="ru-RU"/>
    </w:rPr>
  </w:style>
  <w:style w:type="paragraph" w:styleId="Style21">
    <w:name w:val="распоряжение"/>
    <w:basedOn w:val="Normal"/>
    <w:next w:val="BodyText"/>
    <w:qFormat/>
    <w:pPr>
      <w:overflowPunct w:val="false"/>
      <w:jc w:val="center"/>
    </w:pPr>
    <w:rPr>
      <w:sz w:val="20"/>
      <w:szCs w:val="20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b/>
      <w:bCs/>
      <w:color w:val="auto"/>
      <w:kern w:val="0"/>
      <w:sz w:val="22"/>
      <w:szCs w:val="22"/>
      <w:lang w:val="ru-RU" w:eastAsia="zh-CN" w:bidi="ar-SA"/>
    </w:rPr>
  </w:style>
  <w:style w:type="paragraph" w:styleId="ConsNormal">
    <w:name w:val="ConsNormal"/>
    <w:qFormat/>
    <w:pPr>
      <w:widowControl w:val="false"/>
      <w:suppressAutoHyphens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2"/>
      <w:lang w:val="ru-RU" w:eastAsia="zh-CN" w:bidi="ar-SA"/>
    </w:rPr>
  </w:style>
  <w:style w:type="paragraph" w:styleId="Style22">
    <w:name w:val="Абзац списка"/>
    <w:basedOn w:val="Normal"/>
    <w:qFormat/>
    <w:pPr>
      <w:overflowPunct w:val="false"/>
      <w:spacing w:before="0" w:after="0"/>
      <w:ind w:hanging="0" w:left="720" w:right="0"/>
      <w:contextualSpacing/>
      <w:textAlignment w:val="baseline"/>
    </w:pPr>
    <w:rPr>
      <w:sz w:val="20"/>
      <w:szCs w:val="20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7">
    <w:name w:val="Основной текст7"/>
    <w:basedOn w:val="Normal"/>
    <w:qFormat/>
    <w:pPr>
      <w:shd w:val="clear" w:fill="FFFFFF"/>
      <w:spacing w:lineRule="exact" w:line="317"/>
    </w:pPr>
    <w:rPr>
      <w:sz w:val="27"/>
      <w:szCs w:val="27"/>
      <w:lang w:val="ru-RU"/>
    </w:rPr>
  </w:style>
  <w:style w:type="paragraph" w:styleId="Style23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ru-RU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ru-RU"/>
    </w:rPr>
  </w:style>
  <w:style w:type="paragraph" w:styleId="Style24">
    <w:name w:val="Текст выноски"/>
    <w:basedOn w:val="Normal"/>
    <w:qFormat/>
    <w:pPr/>
    <w:rPr>
      <w:rFonts w:ascii="Tahoma" w:hAnsi="Tahoma" w:cs="Tahoma"/>
      <w:sz w:val="16"/>
      <w:szCs w:val="16"/>
      <w:lang w:val="ru-RU"/>
    </w:rPr>
  </w:style>
  <w:style w:type="paragraph" w:styleId="Style25">
    <w:name w:val="Знак"/>
    <w:basedOn w:val="Normal"/>
    <w:qFormat/>
    <w:pPr>
      <w:widowControl w:val="false"/>
      <w:spacing w:lineRule="atLeast" w:line="360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paragraph" w:styleId="13">
    <w:name w:val="Цитата1"/>
    <w:basedOn w:val="Normal"/>
    <w:qFormat/>
    <w:pPr>
      <w:ind w:hanging="0" w:left="-720" w:right="-365"/>
    </w:pPr>
    <w:rPr>
      <w:sz w:val="28"/>
    </w:rPr>
  </w:style>
  <w:style w:type="paragraph" w:styleId="ConsNonformat">
    <w:name w:val="ConsNonformat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14">
    <w:name w:val="Название объекта1"/>
    <w:basedOn w:val="Normal"/>
    <w:next w:val="Normal"/>
    <w:qFormat/>
    <w:pPr>
      <w:widowControl w:val="false"/>
      <w:overflowPunct w:val="false"/>
      <w:spacing w:lineRule="atLeast" w:line="240" w:before="720" w:after="0"/>
      <w:ind w:firstLine="709" w:left="0" w:right="0"/>
      <w:jc w:val="both"/>
      <w:textAlignment w:val="baseline"/>
    </w:pPr>
    <w:rPr>
      <w:sz w:val="28"/>
      <w:szCs w:val="20"/>
    </w:rPr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paragraph" w:styleId="Style28">
    <w:name w:val="Содержимое врезки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Application>LibreOffice/7.6.7.2$Linux_X86_64 LibreOffice_project/60$Build-2</Application>
  <AppVersion>15.0000</AppVersion>
  <Pages>6</Pages>
  <Words>1257</Words>
  <Characters>7038</Characters>
  <CharactersWithSpaces>8422</CharactersWithSpaces>
  <Paragraphs>172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2023-06-01T08:46:00Z</dcterms:created>
  <dc:creator>User</dc:creator>
  <dc:description/>
  <dc:language>ru-RU</dc:language>
  <cp:lastModifiedBy/>
  <cp:lastPrinted>2026-07-29T09:22:15Z</cp:lastPrinted>
  <dcterms:modified xsi:type="dcterms:W3CDTF">2026-07-29T12:47:15Z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