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0" w:left="9921" w:right="0"/>
        <w:contextualSpacing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к постановлению администрации</w:t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0" w:left="9921" w:right="0"/>
        <w:contextualSpacing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Вилючинского городского округа </w:t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0" w:left="9921" w:right="0"/>
        <w:contextualSpacing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u w:val="none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29.04.2026</w:t>
      </w:r>
      <w:r>
        <w:rPr>
          <w:rFonts w:eastAsia="Times New Roman" w:cs="Times New Roman" w:ascii="Times New Roman" w:hAnsi="Times New Roman"/>
          <w:sz w:val="28"/>
          <w:szCs w:val="28"/>
          <w:u w:val="none"/>
          <w:lang w:eastAsia="ru-RU"/>
        </w:rPr>
        <w:t xml:space="preserve"> №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368</w:t>
      </w:r>
    </w:p>
    <w:p>
      <w:pPr>
        <w:pStyle w:val="Normal"/>
        <w:widowControl w:val="false"/>
        <w:tabs>
          <w:tab w:val="clear" w:pos="720"/>
          <w:tab w:val="right" w:pos="9214" w:leader="none"/>
        </w:tabs>
        <w:suppressAutoHyphens w:val="true"/>
        <w:bidi w:val="0"/>
        <w:spacing w:lineRule="auto" w:line="240" w:before="0" w:after="0"/>
        <w:ind w:hanging="0" w:left="9921" w:right="0"/>
        <w:contextualSpacing/>
        <w:jc w:val="left"/>
        <w:rPr>
          <w:rFonts w:ascii="Times New Roman" w:hAnsi="Times New Roman" w:eastAsia="Times New Roman" w:cs="Times New Roman"/>
          <w:u w:val="none"/>
          <w:lang w:eastAsia="ru-RU"/>
        </w:rPr>
      </w:pPr>
      <w:r>
        <w:rPr>
          <w:rFonts w:eastAsia="Times New Roman" w:cs="Times New Roman" w:ascii="Times New Roman" w:hAnsi="Times New Roman"/>
          <w:u w:val="none"/>
          <w:lang w:eastAsia="ru-RU"/>
        </w:rPr>
      </w:r>
    </w:p>
    <w:p>
      <w:pPr>
        <w:pStyle w:val="312"/>
        <w:spacing w:lineRule="exact" w:line="322" w:before="0" w:after="0"/>
        <w:ind w:hanging="0" w:left="0" w:right="20"/>
        <w:jc w:val="center"/>
        <w:rPr>
          <w:rFonts w:ascii="Times New Roman" w:hAnsi="Times New Roman"/>
          <w:sz w:val="28"/>
        </w:rPr>
      </w:pPr>
      <w:r>
        <w:rPr>
          <w:sz w:val="28"/>
        </w:rPr>
        <w:t>Перечень мероприятий антинаркотической профилактической деятельности</w:t>
      </w:r>
      <w:r>
        <w:rPr/>
        <w:br/>
      </w:r>
      <w:r>
        <w:rPr>
          <w:sz w:val="28"/>
        </w:rPr>
        <w:t>по реализации в 2026 году на территории Вилючинского городского округа Стратегии государственной антинаркотической политики Российской Федерации на период до 2030 года</w:t>
      </w:r>
      <w:r>
        <w:rPr>
          <w:rStyle w:val="FootnoteReference"/>
          <w:sz w:val="28"/>
          <w:vertAlign w:val="superscript"/>
        </w:rPr>
        <w:footnoteReference w:id="2"/>
      </w:r>
      <w:r>
        <w:rPr>
          <w:sz w:val="28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Style_4"/>
        <w:tblW w:w="1567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4452"/>
        <w:gridCol w:w="2715"/>
        <w:gridCol w:w="3210"/>
        <w:gridCol w:w="2310"/>
        <w:gridCol w:w="2304"/>
      </w:tblGrid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п/п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Наименование (содержание) мероприятий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Исполнители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и место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проведения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Ожидаемый результат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(качественные и количественные характеристики)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Срок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(дата проведения)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Ресурсы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и источники финансирования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3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4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5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6</w:t>
            </w:r>
          </w:p>
        </w:tc>
      </w:tr>
      <w:tr>
        <w:trPr>
          <w:trHeight w:val="360" w:hRule="atLeast"/>
        </w:trPr>
        <w:tc>
          <w:tcPr>
            <w:tcW w:w="15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1. С лицами в возрасте 7-11 лет (А-1, А-2, А-3)</w:t>
            </w:r>
            <w:r>
              <w:rPr>
                <w:rStyle w:val="FootnoteReference"/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  <w:vertAlign w:val="superscript"/>
              </w:rPr>
              <w:footnoteReference w:id="3"/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i w:val="false"/>
                <w:i w:val="false"/>
                <w:sz w:val="24"/>
              </w:rPr>
            </w:pPr>
            <w:r>
              <w:rPr>
                <w:rFonts w:ascii="Times New Roman" w:hAnsi="Times New Roman"/>
                <w:i w:val="false"/>
                <w:color w:val="000000"/>
                <w:spacing w:val="0"/>
                <w:kern w:val="0"/>
                <w:sz w:val="24"/>
                <w:szCs w:val="20"/>
              </w:rPr>
              <w:t>1.1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Вовлечение детей в социально значимую деятельность: кружки, секции, добровольческие и культурно-спортивные мероприятия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Развитие у детей творческих способностей, удовлетворение индивидуальных потребностей, адаптация к жизни в обществе, содействие профессиональной ориентации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i w:val="false"/>
                <w:i w:val="false"/>
                <w:sz w:val="24"/>
              </w:rPr>
            </w:pPr>
            <w:r>
              <w:rPr>
                <w:rFonts w:ascii="Times New Roman" w:hAnsi="Times New Roman"/>
                <w:i w:val="false"/>
                <w:color w:val="000000"/>
                <w:spacing w:val="0"/>
                <w:kern w:val="0"/>
                <w:sz w:val="24"/>
                <w:szCs w:val="20"/>
              </w:rPr>
              <w:t>1.2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Организация и проведение мероприятий антидеструктивной направленности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Обеспечение работы организаций дополнительного образования, всероссийского детско-юношеского военно-патриотического движения «Юнармия», проведение культурно-спортивных мероприятий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98" w:hRule="atLeast"/>
        </w:trPr>
        <w:tc>
          <w:tcPr>
            <w:tcW w:w="15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2. С лицами в возрасте 12-16 лет (Б-1, Б-2, Б-3, Б-4, Б-5)</w:t>
            </w:r>
            <w:r>
              <w:rPr>
                <w:rStyle w:val="FootnoteReference"/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  <w:vertAlign w:val="superscript"/>
              </w:rPr>
              <w:footnoteReference w:id="4"/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Вовлечение детей в социально значимую деятельность: кружки, секции, добровольческие и культурно-спортивные мероприятия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Развитие у детей творческих способностей, удовлетворение индивидуальных потребностей, адаптация к жизни в обществе, содействие профессиональной ориентации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2.2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Проведение социально-психологического тестирования и информационно-пропагандистских мероприятий по привлечению учащихся в СПТ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Сбор и обработка статистических данных по образовательной организации, классам или группам; дифференциация учащихся по группам: с низкой, средней, высокой или высочайшей вероятностью проявлений рискового поведения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— ноябрь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Проведение дополнительного психологического тестирования выявленного по итогам СПТ «группы риска» для оценки вероятности употребления наркотиков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Использование полученных обобщенных результатов для планирования профилактической работы в образовательной организации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ноябрь — апрель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Проведение индивидуальных и групповых коррекционно-развивающих занятий с обучающимися «группы риска», у которых по итогам дополнительного психологического тестирования выявлена вероятность зависимого поведения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Адресная работа с обучающимися выявленной «группы риска», направленная на формирование и развитие у обучающихся положительного образа «Я», внутренних ресурсов личности, коммуникативных навыков, самоконтроля, уверенности в себе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Профилактика распространения наркотиков в образовательных организациях  через проведение профилактических акций «Барьер», «Чистое поколение» совместно с ОМВД России по ЗАТО Вилючинск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Управление социальной политики администрации Вилючинского городского округа, общеобразовательные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Профилактика наркомании, алкоголизма и других зависимостей среди детей и молодежи, пропаганда ЗОЖ, информирование о вреде наркотиков, формирование антинаркотического мировоззрения.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март-апрель 2026 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ноябрь 2026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Организация и проведение мероприятий антидеструктивной направленности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Обеспечение работы организаций дополнительного образования, всероссийского детско-юношеского движения «Юнармия», проведение культурно-спортивных мероприятий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sz w:val="24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Проведение бесед, информационных пятиминуток о вреде курения, употребления спиртных напитков и наркотических средств, организация лекций по тематике юридической ответственности за осуществление деятельности в сфере потребления и распространения наркотиков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 xml:space="preserve">Управление социальной политики администрации Вилючинского городского округа, подведомственные организации, </w:t>
              <w:br/>
              <w:t xml:space="preserve">ПДН ОМВД России по ЗАТО Вилючинск </w:t>
              <w:br/>
              <w:t xml:space="preserve">(по согласованию), ГБУЗ КК «Вилючинская городская больница» (по согласованию), </w:t>
            </w:r>
            <w:r>
              <w:rPr>
                <w:rFonts w:eastAsia="Droid Sans Fallback" w:cs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 xml:space="preserve">КГПОБУ «Камчатский индустриальный техникум» </w:t>
              <w:br/>
              <w:t>(по согласованию)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Формирование устойчивой мотивация к ЗОЖ</w:t>
            </w: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, с</w:t>
            </w:r>
            <w:r>
              <w:rPr>
                <w:rFonts w:eastAsia="Droid Sans Fallback"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нижение риска совершения правонарушений среди обучающихся, формирование ценностного отношения к здоровью, понимание базовых правил безопасности.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sz w:val="24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sz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</w:rPr>
              <w:t>Размещение в учреждениях плакатов антинаркотической направленности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Droid Sans Fallback" w:cs="Lohit Devanagari"/>
                <w:i w:val="false"/>
                <w:iCs w:val="false"/>
                <w:color w:val="000000"/>
                <w:spacing w:val="0"/>
                <w:kern w:val="0"/>
                <w:szCs w:val="20"/>
                <w:u w:val="none"/>
                <w:lang w:val="ru-RU" w:eastAsia="zh-CN" w:bidi="hi-IN"/>
              </w:rPr>
              <w:t xml:space="preserve">Управление социальной политики администрации Вилючинского городского округа, подведомственные организации, </w:t>
              <w:br/>
            </w:r>
            <w:r>
              <w:rPr>
                <w:rFonts w:eastAsia="Droid Sans Fallback" w:cs="Times New Roman"/>
                <w:i w:val="false"/>
                <w:iCs w:val="false"/>
                <w:color w:val="000000"/>
                <w:spacing w:val="0"/>
                <w:kern w:val="0"/>
                <w:szCs w:val="20"/>
                <w:u w:val="none"/>
                <w:lang w:val="ru-RU" w:eastAsia="zh-CN" w:bidi="hi-IN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</w:rPr>
              <w:t>Размещение в образовательных организациях плакатов антинаркотической на</w:t>
            </w:r>
            <w:r>
              <w:rPr>
                <w:rFonts w:eastAsia="Droid Sans Fallback" w:cs="Lohit Devanagari"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правленности, направленных на формирование устойчивой антинаркотической позиции и  популяризацию здорового образа жизни</w:t>
            </w:r>
          </w:p>
          <w:p>
            <w:pPr>
              <w:pStyle w:val="BodyText"/>
              <w:widowControl/>
              <w:numPr>
                <w:ilvl w:val="0"/>
                <w:numId w:val="0"/>
              </w:numPr>
              <w:spacing w:before="0" w:after="0"/>
              <w:ind w:hanging="0" w:left="0" w:right="0"/>
              <w:rPr>
                <w:rFonts w:ascii="SB Sans Text;sans-serif" w:hAnsi="SB Sans Text;sans-serif"/>
                <w:b w:val="false"/>
                <w:i w:val="false"/>
                <w:i w:val="false"/>
                <w:caps w:val="false"/>
                <w:smallCaps w:val="false"/>
                <w:color w:val="080808"/>
                <w:spacing w:val="0"/>
                <w:sz w:val="24"/>
                <w14:textFill>
                  <w14:solidFill>
                    <w14:srgbClr w14:val="080808">
                      <w14:alpha w14:val="4313"/>
                    </w14:srgbClr>
                  </w14:solidFill>
                </w14:textFill>
              </w:rPr>
            </w:pPr>
            <w:r>
              <w:rPr>
                <w:rFonts w:ascii="SB Sans Text;sans-serif" w:hAnsi="SB Sans Text;sans-serif"/>
                <w:b w:val="false"/>
                <w:i w:val="false"/>
                <w:caps w:val="false"/>
                <w:smallCaps w:val="false"/>
                <w:color w:val="080808"/>
                <w:spacing w:val="0"/>
                <w:sz w:val="24"/>
                <w14:textFill>
                  <w14:solidFill>
                    <w14:srgbClr w14:val="080808">
                      <w14:alpha w14:val="4313"/>
                    </w14:srgbClr>
                  </w14:solidFill>
                </w14:textFill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sz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i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sz w:val="24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2.9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Сообщения антинаркотической направленности в социальных сетях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u w:val="none"/>
              </w:rPr>
            </w:pPr>
            <w:r>
              <w:rPr>
                <w:i w:val="false"/>
                <w:iCs w:val="false"/>
                <w:u w:val="none"/>
              </w:rPr>
              <w:t xml:space="preserve">Управление социальной политики администрации Вилючинского городского округа, подведомственные организации, </w:t>
              <w:br/>
            </w:r>
            <w:r>
              <w:rPr>
                <w:rFonts w:cs="Times New Roman"/>
                <w:i w:val="false"/>
                <w:iCs w:val="false"/>
                <w:u w:val="none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auto"/>
                <w:spacing w:val="0"/>
                <w:kern w:val="0"/>
                <w:sz w:val="24"/>
                <w:szCs w:val="24"/>
                <w:u w:val="none"/>
                <w:lang w:val="ru-RU" w:eastAsia="ru-RU" w:bidi="ar-SA"/>
              </w:rPr>
              <w:t>Р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азмещение в социальных сетях учреждений контента, популяризирующего ценности здорового образа жизни и формирующего в обществе осознанное негативное отношение к незаконному потреблению наркотиков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2.10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Организация временного трудоустройства несовершеннолетних граждан в возрасте от 14 до 18 лет, в том числе состоящих на различных видах профилактического учета, в свободное от учебы время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КГКУ «Центр занятости населения Камчатского края», КГАУ «Камчатский центр развития детского творчества», муниципальные учреждения и предприятия города Вилючинска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Вовлечение подростков в социально полезную трудовую деятельность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июнь-август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Краевой и местный бюджет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2.11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Организация и проведение фестиваля-конкурса «Скажи наркотикам НЕТ» среди учащихся 7-8 классов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Управление социальной политики администрации Вилючинского городского округа,  образовательные организации, МБУК «Дом культуры»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Популяризация здорового образа жизни и формирование негативного отношения населения к потреблению наркотических средств, психотропных веществ и алкогольной продукции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октябрь 2026 года</w:t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Муниципальная программа «Безопасный Вилючинск», утвержденная постановлением администрации Вилючинского городского округа от 19.12.2016 № 1349</w:t>
            </w:r>
          </w:p>
        </w:tc>
      </w:tr>
      <w:tr>
        <w:trPr>
          <w:trHeight w:val="907" w:hRule="atLeast"/>
        </w:trPr>
        <w:tc>
          <w:tcPr>
            <w:tcW w:w="15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3. С лицами в возрасте 17-21 года, учебные коллективы(обучающиеся старших классов в возрасте 17-18 лет, обучающиеся профессиональных образовательных организаций и образовательных организаций высшего образования, курсанты военных и военизированных образовательных организаций (В-1, В-2, В-3, В-4, В-5)</w:t>
            </w:r>
            <w:r>
              <w:rPr>
                <w:rStyle w:val="FootnoteReference"/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  <w:vertAlign w:val="superscript"/>
              </w:rPr>
              <w:footnoteReference w:id="5"/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Вовлечение детей в социально значимую деятельность: кружки, секции, добровольческие и культурно-спортивные мероприятия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Развитие у детей творческих способностей, удовлетворение индивидуальных потребностей, адаптация к жизни в обществе, содействие профессиональной ориентации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Проведение социально-психологического тестирования и информационно-пропагандистских мероприятий по привлечению учащихся в СПТ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Сбор и обработка статистических данных по образовательной организации, классам или группам; дифференциация учащихся по группам: с низкой, средней, высокой или высочайшей вероятностью проявлений рискового поведения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— ноябрь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Проведение дополнительного психологического тестирования выявленного по итогам СПТ «группы риска» для оценки вероятности употребления наркотиков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</w:rPr>
              <w:t>Использование полученных обобщенных результатов для планирования профилактической работы в образовательной организации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ноябрь — апрель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Проведение индивидуальных и групповых коррекционно-развивающих занятий с обучающимися «группы риска», у которых по итогам дополнительного психологического тестирования выявлена вероятность зависимого поведения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Адресная работа с обучающимися выявленной «группы риска», направленная на формирование и развитие у обучающихся положительного образа «Я», внутренних ресурсов личности, коммуникативных навыков, самоконтроля, уверенности в себе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2026 года</w:t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Профилактика распространения наркотиков в образовательных организациях  через проведение профилактических акций «Барьер», «Чистое поколение» совместно с УМВД России по Камчатскому краю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Управление социальной политики администрации Вилючинского городского округа, общеобразовательные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Профилактика наркомании, алкоголизма и других зависимостей среди детей и молодежи, пропаганда ЗОЖ, информирование о вреде наркотиков, формирование антинаркотического мировоззрения.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март-апрель 2026 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ноябрь 2026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Организация и проведение мероприятий антидеструктивной направленности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подведомственные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Обеспечение работы организаций дополнительного образования, всероссийского детско-юношеского движения «Юнармия», проведение культурно-спортивных мероприятий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sz w:val="24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Проведение бесед, информационных пятиминуток о вреде курения, употребления спиртных напитков и наркотических средств, организация лекций по тематике юридической ответственности за осуществление деятельности в сфере потребления и распространения наркотиков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 xml:space="preserve">Управление социальной политики администрации Вилючинского городского округа, подведомственные организации, </w:t>
              <w:br/>
              <w:t xml:space="preserve">ПДН ОМВД России по ЗАТО Вилючинск (по согласованию), ГБУЗ КК «Вилючинская городская больница» (по согласованию), </w:t>
            </w:r>
            <w:r>
              <w:rPr>
                <w:rFonts w:eastAsia="Droid Sans Fallback" w:cs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Формирование устойчивой мотивация к ЗОЖ</w:t>
            </w: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, с</w:t>
            </w:r>
            <w:r>
              <w:rPr>
                <w:rFonts w:eastAsia="Droid Sans Fallback" w:cs="Times New Roman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нижение риска совершения правонарушений среди обучающихся, формирование ценностного отношения к здоровью, понимание базовых правил безопасности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sz w:val="24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sz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</w:rPr>
              <w:t>Размещение в учреждениях плакатов антинаркотической направленности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Droid Sans Fallback" w:cs="Lohit Devanagari"/>
                <w:i w:val="false"/>
                <w:iCs w:val="false"/>
                <w:color w:val="000000"/>
                <w:spacing w:val="0"/>
                <w:kern w:val="0"/>
                <w:szCs w:val="20"/>
                <w:u w:val="none"/>
                <w:lang w:val="ru-RU" w:eastAsia="zh-CN" w:bidi="hi-IN"/>
              </w:rPr>
              <w:t xml:space="preserve">Управление социальной политики администрации Вилючинского городского округа, подведомственные организации, </w:t>
              <w:br/>
            </w:r>
            <w:r>
              <w:rPr>
                <w:rFonts w:eastAsia="Droid Sans Fallback" w:cs="Times New Roman"/>
                <w:i w:val="false"/>
                <w:iCs w:val="false"/>
                <w:color w:val="000000"/>
                <w:spacing w:val="0"/>
                <w:kern w:val="0"/>
                <w:szCs w:val="20"/>
                <w:u w:val="none"/>
                <w:lang w:val="ru-RU" w:eastAsia="zh-CN" w:bidi="hi-IN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</w:rPr>
              <w:t>Размещение в образовательных организациях плакатов антинаркотической на</w:t>
            </w:r>
            <w:r>
              <w:rPr>
                <w:rFonts w:eastAsia="Droid Sans Fallback" w:cs="Lohit Devanagari"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правленности, направленных на формирование устойчивой антинаркотической позиции и  популяризацию здорового образа жизни</w:t>
            </w:r>
          </w:p>
          <w:p>
            <w:pPr>
              <w:pStyle w:val="BodyText"/>
              <w:widowControl/>
              <w:numPr>
                <w:ilvl w:val="0"/>
                <w:numId w:val="0"/>
              </w:numPr>
              <w:spacing w:before="0" w:after="0"/>
              <w:ind w:hanging="0" w:left="0" w:right="0"/>
              <w:rPr>
                <w:rFonts w:ascii="SB Sans Text;sans-serif" w:hAnsi="SB Sans Text;sans-serif"/>
                <w:b w:val="false"/>
                <w:i w:val="false"/>
                <w:i w:val="false"/>
                <w:caps w:val="false"/>
                <w:smallCaps w:val="false"/>
                <w:color w:val="080808"/>
                <w:spacing w:val="0"/>
                <w:sz w:val="24"/>
                <w14:textFill>
                  <w14:solidFill>
                    <w14:srgbClr w14:val="080808">
                      <w14:alpha w14:val="4313"/>
                    </w14:srgbClr>
                  </w14:solidFill>
                </w14:textFill>
              </w:rPr>
            </w:pPr>
            <w:r>
              <w:rPr>
                <w:rFonts w:ascii="SB Sans Text;sans-serif" w:hAnsi="SB Sans Text;sans-serif"/>
                <w:b w:val="false"/>
                <w:i w:val="false"/>
                <w:caps w:val="false"/>
                <w:smallCaps w:val="false"/>
                <w:color w:val="080808"/>
                <w:spacing w:val="0"/>
                <w:sz w:val="24"/>
                <w14:textFill>
                  <w14:solidFill>
                    <w14:srgbClr w14:val="080808">
                      <w14:alpha w14:val="4313"/>
                    </w14:srgbClr>
                  </w14:solidFill>
                </w14:textFill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sz w:val="24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i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sz w:val="24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3.9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Сообщения антинаркотической направленности в социальных сетях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i w:val="false"/>
                <w:i w:val="false"/>
                <w:iCs w:val="false"/>
                <w:u w:val="none"/>
              </w:rPr>
            </w:pPr>
            <w:r>
              <w:rPr>
                <w:i w:val="false"/>
                <w:iCs w:val="false"/>
                <w:u w:val="none"/>
              </w:rPr>
              <w:t xml:space="preserve">Управление социальной политики администрации Вилючинского городского округа, подведомственные организации, </w:t>
              <w:br/>
            </w:r>
            <w:r>
              <w:rPr>
                <w:rFonts w:cs="Times New Roman"/>
                <w:i w:val="false"/>
                <w:iCs w:val="false"/>
                <w:u w:val="none"/>
              </w:rPr>
              <w:t>КГПОБУ «Камчатский индустриальный техникум» (по согласованию)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auto"/>
                <w:spacing w:val="0"/>
                <w:kern w:val="0"/>
                <w:sz w:val="24"/>
                <w:szCs w:val="24"/>
                <w:u w:val="none"/>
                <w:lang w:val="ru-RU" w:eastAsia="ru-RU" w:bidi="ar-SA"/>
              </w:rPr>
              <w:t>Р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азмещение в социальных сетях учреждений контента, популяризирующего ценности здорового образа жизни и формирующего в обществе осознанное негативное отношение к незаконному потреблению наркотиков, телефонов доверия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Droid Sans Fallback" w:cs="Lohit Devanagari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Lohit Devanagari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Организация временного трудоустройства несовершеннолетних граждан в возрасте от 14 до 18 лет, в том числе состоящих на различных видах профилактического учета, в свободное от учебы время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КГКУ «Центр занятости населения Камчатского края», КГАУ «Камчатский центр развития детского творчества», муниципальные учреждения и предприятия города Вилючинска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Вовлечение подростков в социально полезную трудовую деятельность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июнь-август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Краевой и местный бюджет</w:t>
            </w:r>
          </w:p>
        </w:tc>
      </w:tr>
      <w:tr>
        <w:trPr>
          <w:trHeight w:val="360" w:hRule="atLeast"/>
        </w:trPr>
        <w:tc>
          <w:tcPr>
            <w:tcW w:w="15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4. С трудящимися (Е-1, Е-2, Е-3, Е-4, Е-5)</w:t>
            </w:r>
            <w:r>
              <w:rPr>
                <w:rStyle w:val="FootnoteReference"/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  <w:vertAlign w:val="superscript"/>
              </w:rPr>
              <w:footnoteReference w:id="6"/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Предоставление субсидии социально ориентированным некоммерческим организациям, действующим на территории Вилючинского городского округа, на финансовое обеспечение затрат в связи с предоставлением услуг гражданам, оказавшимся в трудной жизненной ситуации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Отдел внутренней и информационной политики администрации Вилючинского городского округа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Получение социально ориентированными некоммерческими организациями субсидии в целях финансового обеспечения затрат, связанных с предоставлением услуг гражданам, оказавшимся в трудной жизненной ситуации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Муниципальная программа «Реализация государственной национальной политики и укрепление гражданского единства в Вилючинском городской округе», утвержденная постановлением </w:t>
            </w:r>
            <w:r>
              <w:rPr>
                <w:rFonts w:eastAsia="Droid Sans Fallback" w:cs="Lohit Devanagari" w:ascii="Times New Roman" w:hAnsi="Times New Roman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администрации Вилючинского городского округа от 18.12.2015 № 1633</w:t>
            </w:r>
          </w:p>
        </w:tc>
      </w:tr>
      <w:tr>
        <w:trPr>
          <w:trHeight w:val="360" w:hRule="atLeast"/>
        </w:trPr>
        <w:tc>
          <w:tcPr>
            <w:tcW w:w="15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5. С родителями / законными представителями детей (беременные женщины, семьи с детьми раннего и дошкольного возраста (до 6 лет)</w:t>
            </w:r>
            <w:r>
              <w:rPr>
                <w:color w:val="000000"/>
                <w:spacing w:val="0"/>
                <w:kern w:val="0"/>
                <w:sz w:val="24"/>
                <w:szCs w:val="20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(Ж-1, Ж-2, Ж-3, Ж-4, Ж-5)</w:t>
            </w:r>
            <w:r>
              <w:rPr>
                <w:rStyle w:val="FootnoteReference"/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  <w:vertAlign w:val="superscript"/>
              </w:rPr>
              <w:footnoteReference w:id="7"/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5.1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Проведение тематических родительских собраний и консультаций по тематике семейных ценностей, психологического комфорта и доверия в семье, выявления первых признаков употребления ребенком ПАВ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Повышение психолого-педагогической компетентности родителей, формирование навыков распознавания тревожных сигналов и уверенного поведения в сложных ситуациях с детьми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  <w:tr>
        <w:trPr>
          <w:trHeight w:val="36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5.2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Информирование родителей (законных представителей) об акции «Доверяй, но проверяй»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Управление социальной политики администрации Вилючинского городского округа, общеобразовательные организации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Доведение до родителей информации о возможности направление ребенка на анонимное тестирование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течение 2026 года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За счет средств, выделяемых на основные виды деятельности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sectPr>
      <w:headerReference w:type="default" r:id="rId2"/>
      <w:footnotePr>
        <w:numFmt w:val="decimal"/>
      </w:footnotePr>
      <w:type w:val="nextPage"/>
      <w:pgSz w:orient="landscape" w:w="16838" w:h="11906"/>
      <w:pgMar w:left="567" w:right="567" w:gutter="0" w:header="567" w:top="1134" w:footer="0" w:bottom="567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Candara">
    <w:charset w:val="01"/>
    <w:family w:val="roman"/>
    <w:pitch w:val="variable"/>
  </w:font>
  <w:font w:name="Century Gothic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B Sans Text">
    <w:altName w:val="sans-serif"/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lineRule="exact" w:line="170"/>
        <w:ind w:hanging="0" w:left="720" w:right="0"/>
        <w:rPr>
          <w:b w:val="false"/>
          <w:sz w:val="18"/>
        </w:rPr>
      </w:pPr>
      <w:r>
        <w:rPr>
          <w:rStyle w:val="Style14"/>
        </w:rPr>
        <w:footnoteRef/>
      </w:r>
      <w:r>
        <w:rPr>
          <w:b w:val="false"/>
          <w:sz w:val="18"/>
        </w:rPr>
        <w:t xml:space="preserve"> </w:t>
      </w:r>
      <w:r>
        <w:rPr>
          <w:b w:val="false"/>
          <w:sz w:val="18"/>
        </w:rPr>
        <w:t>Далее - Стратегия.</w:t>
      </w:r>
    </w:p>
  </w:footnote>
  <w:footnote w:id="3">
    <w:p>
      <w:pPr>
        <w:pStyle w:val="Footnote1"/>
        <w:ind w:firstLine="709" w:left="0" w:right="0"/>
        <w:rPr>
          <w:rFonts w:ascii="Times New Roman" w:hAnsi="Times New Roman"/>
          <w:sz w:val="18"/>
        </w:rPr>
      </w:pPr>
      <w:r>
        <w:rPr>
          <w:rStyle w:val="Style14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b/>
          <w:sz w:val="18"/>
        </w:rPr>
        <w:t>Категория объектов профилактики (А), 1- первичная,</w:t>
      </w:r>
      <w:r>
        <w:rPr>
          <w:rFonts w:ascii="Times New Roman" w:hAnsi="Times New Roman"/>
          <w:sz w:val="18"/>
        </w:rPr>
        <w:t xml:space="preserve"> социально активное поведение (объект осуществляет общественно полезную, одобряемую государством и обществом деятельность, проявляет психологическую адекватность),</w:t>
      </w:r>
      <w:r>
        <w:rPr>
          <w:rFonts w:ascii="Times New Roman" w:hAnsi="Times New Roman"/>
          <w:b/>
          <w:sz w:val="18"/>
        </w:rPr>
        <w:t xml:space="preserve"> 2– первичная</w:t>
      </w:r>
      <w:r>
        <w:rPr>
          <w:rFonts w:ascii="Times New Roman" w:hAnsi="Times New Roman"/>
          <w:sz w:val="18"/>
        </w:rPr>
        <w:t xml:space="preserve">, законопослушное, правомерное поведение (объект сознательно подчиняется общепризнанным правилам и нормам, закону), </w:t>
      </w:r>
      <w:r>
        <w:rPr>
          <w:rFonts w:ascii="Times New Roman" w:hAnsi="Times New Roman"/>
          <w:b/>
          <w:sz w:val="18"/>
        </w:rPr>
        <w:t>3 – вторичная,</w:t>
      </w:r>
      <w:r>
        <w:rPr>
          <w:rFonts w:ascii="Times New Roman" w:hAnsi="Times New Roman"/>
          <w:sz w:val="18"/>
        </w:rPr>
        <w:t xml:space="preserve"> девиантное и (или) асоциальное поведение (объект периодически, не более 3-х раз в год нарушал нормы административного законодательства в сфере незаконного оборота наркотиков). </w:t>
      </w:r>
    </w:p>
  </w:footnote>
  <w:footnote w:id="4">
    <w:p>
      <w:pPr>
        <w:pStyle w:val="Footnote1"/>
        <w:ind w:firstLine="709" w:left="0" w:right="0"/>
        <w:rPr>
          <w:rFonts w:ascii="Times New Roman" w:hAnsi="Times New Roman"/>
          <w:sz w:val="18"/>
        </w:rPr>
      </w:pPr>
      <w:r>
        <w:rPr>
          <w:rStyle w:val="Style14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b/>
          <w:sz w:val="18"/>
        </w:rPr>
        <w:t>Категория объектов профилактики (Б), 1- первичная,</w:t>
      </w:r>
      <w:r>
        <w:rPr>
          <w:rFonts w:ascii="Times New Roman" w:hAnsi="Times New Roman"/>
          <w:sz w:val="18"/>
        </w:rPr>
        <w:t xml:space="preserve"> социально активное поведение (объект осуществляет общественно полезную, одобряемую государством и обществом деятельность, проявляет психологическую адекватность), </w:t>
      </w:r>
      <w:r>
        <w:rPr>
          <w:rFonts w:ascii="Times New Roman" w:hAnsi="Times New Roman"/>
          <w:b/>
          <w:sz w:val="18"/>
        </w:rPr>
        <w:t>2– первичная,</w:t>
      </w:r>
      <w:r>
        <w:rPr>
          <w:rFonts w:ascii="Times New Roman" w:hAnsi="Times New Roman"/>
          <w:sz w:val="18"/>
        </w:rPr>
        <w:t xml:space="preserve"> законопослушное, правомерное поведение (объект сознательно подчиняется общепризнанным правилам и нормам, закону), </w:t>
      </w:r>
      <w:r>
        <w:rPr>
          <w:rFonts w:ascii="Times New Roman" w:hAnsi="Times New Roman"/>
          <w:b/>
          <w:sz w:val="18"/>
        </w:rPr>
        <w:t>3 – вторичная,</w:t>
      </w:r>
      <w:r>
        <w:rPr>
          <w:rFonts w:ascii="Times New Roman" w:hAnsi="Times New Roman"/>
          <w:sz w:val="18"/>
        </w:rPr>
        <w:t xml:space="preserve"> девиантное и (или) асоциальное поведение (объект периодически, не более 3-х раз в год нарушал нормы административного законодательства в сфере незаконного оборота наркотиков)</w:t>
      </w:r>
      <w:r>
        <w:rPr>
          <w:rFonts w:ascii="Times New Roman" w:hAnsi="Times New Roman"/>
          <w:b/>
          <w:sz w:val="18"/>
        </w:rPr>
        <w:t xml:space="preserve">, 4 – вторичная, </w:t>
      </w:r>
      <w:r>
        <w:rPr>
          <w:rFonts w:ascii="Times New Roman" w:hAnsi="Times New Roman"/>
          <w:sz w:val="18"/>
        </w:rPr>
        <w:t>аддиктивное и  (или) маргинальное поведение (объект регулярно нарушает административаное законодательство в сфере незаконного оборота наркотиков и (или) состоит на специализированных учётах и (или) допускает эпизодическое потребление НС и ПВ),</w:t>
      </w:r>
      <w:r>
        <w:rPr>
          <w:rFonts w:ascii="Times New Roman" w:hAnsi="Times New Roman"/>
          <w:b/>
          <w:sz w:val="18"/>
        </w:rPr>
        <w:t xml:space="preserve"> 5– третичная</w:t>
      </w:r>
      <w:r>
        <w:rPr>
          <w:rFonts w:ascii="Times New Roman" w:hAnsi="Times New Roman"/>
          <w:sz w:val="18"/>
        </w:rPr>
        <w:t>, делинквентное поведение (объект привлекался к уголовной отвественности в сфере незаконного оборота наркотиков и (или) систематически употреблял НС и ПВ (наркомания в стадии ремиссии).</w:t>
      </w:r>
    </w:p>
  </w:footnote>
  <w:footnote w:id="5">
    <w:p>
      <w:pPr>
        <w:pStyle w:val="Footnote1"/>
        <w:ind w:firstLine="709" w:left="0" w:right="0"/>
        <w:rPr>
          <w:rFonts w:ascii="Times New Roman" w:hAnsi="Times New Roman"/>
          <w:sz w:val="18"/>
        </w:rPr>
      </w:pPr>
      <w:r>
        <w:rPr>
          <w:rStyle w:val="Style14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b/>
          <w:sz w:val="18"/>
        </w:rPr>
        <w:t>Категория объектов профилактики (В), 1- первичная,</w:t>
      </w:r>
      <w:r>
        <w:rPr>
          <w:rFonts w:ascii="Times New Roman" w:hAnsi="Times New Roman"/>
          <w:sz w:val="18"/>
        </w:rPr>
        <w:t xml:space="preserve"> социально активное поведение (объект осуществляет общественно полезную, одобряемую государством и обществом деятельность, проявляет психологическую адекватность), </w:t>
      </w:r>
      <w:r>
        <w:rPr>
          <w:rFonts w:ascii="Times New Roman" w:hAnsi="Times New Roman"/>
          <w:b/>
          <w:sz w:val="18"/>
        </w:rPr>
        <w:t>2– первичная,</w:t>
      </w:r>
      <w:r>
        <w:rPr>
          <w:rFonts w:ascii="Times New Roman" w:hAnsi="Times New Roman"/>
          <w:sz w:val="18"/>
        </w:rPr>
        <w:t xml:space="preserve"> законопослушное, правомерное поведение (объект сознательно подчиняется общепризнанным правилам и нормам, закону), </w:t>
      </w:r>
      <w:r>
        <w:rPr>
          <w:rFonts w:ascii="Times New Roman" w:hAnsi="Times New Roman"/>
          <w:b/>
          <w:sz w:val="18"/>
        </w:rPr>
        <w:t>3 – вторичная,</w:t>
      </w:r>
      <w:r>
        <w:rPr>
          <w:rFonts w:ascii="Times New Roman" w:hAnsi="Times New Roman"/>
          <w:sz w:val="18"/>
        </w:rPr>
        <w:t xml:space="preserve"> девиантное и (или) асоциальное поведение (объект периодически, не более 3-х раз в год нарушал нормы административного законодательства в сфере незаконного оборота наркотиков)</w:t>
      </w:r>
      <w:r>
        <w:rPr>
          <w:rFonts w:ascii="Times New Roman" w:hAnsi="Times New Roman"/>
          <w:b/>
          <w:sz w:val="18"/>
        </w:rPr>
        <w:t xml:space="preserve">, 4 – вторичная, </w:t>
      </w:r>
      <w:r>
        <w:rPr>
          <w:rFonts w:ascii="Times New Roman" w:hAnsi="Times New Roman"/>
          <w:sz w:val="18"/>
        </w:rPr>
        <w:t>аддиктивное и (или) маргинальное поведение (объект регулярно нарушает административаное законодательство в сфере незаконного оборота наркотиков и (или) состоит на специализированных учётах и (или) допускает эпизодическое потребление НС и ПВ),</w:t>
      </w:r>
      <w:r>
        <w:rPr>
          <w:rFonts w:ascii="Times New Roman" w:hAnsi="Times New Roman"/>
          <w:b/>
          <w:sz w:val="18"/>
        </w:rPr>
        <w:t xml:space="preserve"> 5– третичная</w:t>
      </w:r>
      <w:r>
        <w:rPr>
          <w:rFonts w:ascii="Times New Roman" w:hAnsi="Times New Roman"/>
          <w:sz w:val="18"/>
        </w:rPr>
        <w:t>, делинквентное поведение (объект привлекался к уголовной отвественности в сфере незаконного оборота наркотиков и (или) систематически употреблял НС и ПВ (наркомания в стадии ремиссии).</w:t>
      </w:r>
    </w:p>
  </w:footnote>
  <w:footnote w:id="6">
    <w:p>
      <w:pPr>
        <w:pStyle w:val="Footnote1"/>
        <w:ind w:firstLine="709" w:left="0" w:right="0"/>
        <w:rPr>
          <w:rFonts w:ascii="Times New Roman" w:hAnsi="Times New Roman"/>
          <w:sz w:val="18"/>
        </w:rPr>
      </w:pPr>
      <w:r>
        <w:rPr>
          <w:rStyle w:val="Style14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b/>
          <w:sz w:val="18"/>
        </w:rPr>
        <w:t>Категория объектов профилактики (Е), 1- первичная,</w:t>
      </w:r>
      <w:r>
        <w:rPr>
          <w:rFonts w:ascii="Times New Roman" w:hAnsi="Times New Roman"/>
          <w:sz w:val="18"/>
        </w:rPr>
        <w:t xml:space="preserve"> социально активное поведение (объект осуществляет общественно полезную, одобряемую государством и обществом деятельность, проявляет психологическую адекватность), </w:t>
      </w:r>
      <w:r>
        <w:rPr>
          <w:rFonts w:ascii="Times New Roman" w:hAnsi="Times New Roman"/>
          <w:b/>
          <w:sz w:val="18"/>
        </w:rPr>
        <w:t>2– первичная,</w:t>
      </w:r>
      <w:r>
        <w:rPr>
          <w:rFonts w:ascii="Times New Roman" w:hAnsi="Times New Roman"/>
          <w:sz w:val="18"/>
        </w:rPr>
        <w:t xml:space="preserve"> законопослушное, правомерное поведение (объект сознательно подчиняется общепризнанным правилам и нормам, закону), </w:t>
      </w:r>
      <w:r>
        <w:rPr>
          <w:rFonts w:ascii="Times New Roman" w:hAnsi="Times New Roman"/>
          <w:b/>
          <w:sz w:val="18"/>
        </w:rPr>
        <w:t>3 – вторичная,</w:t>
      </w:r>
      <w:r>
        <w:rPr>
          <w:rFonts w:ascii="Times New Roman" w:hAnsi="Times New Roman"/>
          <w:sz w:val="18"/>
        </w:rPr>
        <w:t xml:space="preserve"> девиантное и (или) асоциальное поведение (объект периодически, не более 3-х раз в год нарушал нормы административного законодательства в сфере незаконного оборота наркотиков)</w:t>
      </w:r>
      <w:r>
        <w:rPr>
          <w:rFonts w:ascii="Times New Roman" w:hAnsi="Times New Roman"/>
          <w:b/>
          <w:sz w:val="18"/>
        </w:rPr>
        <w:t xml:space="preserve">, 4 – вторичная, </w:t>
      </w:r>
      <w:r>
        <w:rPr>
          <w:rFonts w:ascii="Times New Roman" w:hAnsi="Times New Roman"/>
          <w:sz w:val="18"/>
        </w:rPr>
        <w:t>аддиктивное и  (или) маргинальное поведение (объект регулярно нарушает административаное законодательство в сфере незаконного оборота наркотиков и (или) состоит на специализированных учётах и (или) допускает эпизодическое потребление НС и ПВ),</w:t>
      </w:r>
      <w:r>
        <w:rPr>
          <w:rFonts w:ascii="Times New Roman" w:hAnsi="Times New Roman"/>
          <w:b/>
          <w:sz w:val="18"/>
        </w:rPr>
        <w:t xml:space="preserve"> 5– третичная</w:t>
      </w:r>
      <w:r>
        <w:rPr>
          <w:rFonts w:ascii="Times New Roman" w:hAnsi="Times New Roman"/>
          <w:sz w:val="18"/>
        </w:rPr>
        <w:t>, делинквентное поведение (объект привлекался к уголовной отвественности в сфере незаконного оборота наркотиков и (или) систематически употреблял НС и ПВ (наркомания в стадии ремиссии).</w:t>
      </w:r>
    </w:p>
  </w:footnote>
  <w:footnote w:id="7">
    <w:p>
      <w:pPr>
        <w:pStyle w:val="Footnote1"/>
        <w:ind w:firstLine="709" w:left="0" w:right="0"/>
        <w:rPr>
          <w:rFonts w:ascii="Times New Roman" w:hAnsi="Times New Roman"/>
        </w:rPr>
      </w:pPr>
      <w:r>
        <w:rPr>
          <w:rStyle w:val="Style14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18"/>
        </w:rPr>
        <w:t>Категория объектов профилактики (Ж), 1- первичная,</w:t>
      </w:r>
      <w:r>
        <w:rPr>
          <w:rFonts w:ascii="Times New Roman" w:hAnsi="Times New Roman"/>
          <w:sz w:val="18"/>
        </w:rPr>
        <w:t xml:space="preserve"> социально активное поведение (объект осуществляет общественно полезную, одобряемую государством и обществом деятельность, проявляет психологическую адекватность), </w:t>
      </w:r>
      <w:r>
        <w:rPr>
          <w:rFonts w:ascii="Times New Roman" w:hAnsi="Times New Roman"/>
          <w:b/>
          <w:sz w:val="18"/>
        </w:rPr>
        <w:t>2– первичная,</w:t>
      </w:r>
      <w:r>
        <w:rPr>
          <w:rFonts w:ascii="Times New Roman" w:hAnsi="Times New Roman"/>
          <w:sz w:val="18"/>
        </w:rPr>
        <w:t xml:space="preserve"> законопослушное, правомерное поведение (объект сознательно подчиняется общепризнанным правилам и нормам, закону), </w:t>
      </w:r>
      <w:r>
        <w:rPr>
          <w:rFonts w:ascii="Times New Roman" w:hAnsi="Times New Roman"/>
          <w:b/>
          <w:sz w:val="18"/>
        </w:rPr>
        <w:t>3 – вторичная,</w:t>
      </w:r>
      <w:r>
        <w:rPr>
          <w:rFonts w:ascii="Times New Roman" w:hAnsi="Times New Roman"/>
          <w:sz w:val="18"/>
        </w:rPr>
        <w:t xml:space="preserve"> девиантное и (или) асоциальное поведение (объект периодически, не более 3-х раз в год нарушал нормы административного законодательства в сфере незаконного оборота наркотиков)</w:t>
      </w:r>
      <w:r>
        <w:rPr>
          <w:rFonts w:ascii="Times New Roman" w:hAnsi="Times New Roman"/>
          <w:b/>
          <w:sz w:val="18"/>
        </w:rPr>
        <w:t xml:space="preserve">, 4 – вторичная, </w:t>
      </w:r>
      <w:r>
        <w:rPr>
          <w:rFonts w:ascii="Times New Roman" w:hAnsi="Times New Roman"/>
          <w:sz w:val="18"/>
        </w:rPr>
        <w:t>аддиктивное и (или) маргинальное поведение (объект регулярно нарушает административаное законодательство в сфере незаконного оборота наркотиков и (или) состоит на специализированных учётах и (или) допускает эпизодическое потребление НС и ПВ),</w:t>
      </w:r>
      <w:r>
        <w:rPr>
          <w:rFonts w:ascii="Times New Roman" w:hAnsi="Times New Roman"/>
          <w:b/>
          <w:sz w:val="18"/>
        </w:rPr>
        <w:t xml:space="preserve"> 5– третичная</w:t>
      </w:r>
      <w:r>
        <w:rPr>
          <w:rFonts w:ascii="Times New Roman" w:hAnsi="Times New Roman"/>
          <w:sz w:val="18"/>
        </w:rPr>
        <w:t>, делинквентное поведение (объект привлекался к уголовной отвественности в сфере незаконного оборота наркотиков и (или) систематически употреблял НС и ПВ (наркомания в стадии ремиссии).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10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Droid Sans Fallback" w:cs="Lohit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Droid Sans Fallback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Droid Sans Fallback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Droid Sans Fallback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Droid Sans Fallback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 w:val="false"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Droid Sans Fallback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Style9">
    <w:name w:val="Подпись к таблице + Не полужирный;Курсив"/>
    <w:basedOn w:val="Style10"/>
    <w:link w:val="15"/>
    <w:qFormat/>
    <w:rPr>
      <w:i/>
    </w:rPr>
  </w:style>
  <w:style w:type="character" w:styleId="3">
    <w:name w:val="Подпись к таблице (3)"/>
    <w:link w:val="311"/>
    <w:qFormat/>
    <w:rPr>
      <w:rFonts w:ascii="Times New Roman" w:hAnsi="Times New Roman"/>
      <w:b/>
      <w:sz w:val="22"/>
    </w:rPr>
  </w:style>
  <w:style w:type="character" w:styleId="6">
    <w:name w:val="Подпись к таблице (6)"/>
    <w:link w:val="61"/>
    <w:qFormat/>
    <w:rPr>
      <w:rFonts w:ascii="Times New Roman" w:hAnsi="Times New Roman"/>
      <w:spacing w:val="50"/>
      <w:sz w:val="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andara10pt">
    <w:name w:val="Основной текст + Candara;10 pt"/>
    <w:basedOn w:val="Textbody"/>
    <w:link w:val="Candara10pt1"/>
    <w:qFormat/>
    <w:rPr>
      <w:rFonts w:ascii="Candara" w:hAnsi="Candara"/>
      <w:sz w:val="20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Style10">
    <w:name w:val="Подпись к таблице"/>
    <w:link w:val="16"/>
    <w:qFormat/>
    <w:rPr>
      <w:rFonts w:ascii="Times New Roman" w:hAnsi="Times New Roman"/>
      <w:b/>
      <w:sz w:val="17"/>
    </w:rPr>
  </w:style>
  <w:style w:type="character" w:styleId="31">
    <w:name w:val="Основной текст (3)"/>
    <w:link w:val="312"/>
    <w:qFormat/>
    <w:rPr>
      <w:rFonts w:ascii="Times New Roman" w:hAnsi="Times New Roman"/>
      <w:sz w:val="26"/>
    </w:rPr>
  </w:style>
  <w:style w:type="character" w:styleId="11pt">
    <w:name w:val="Основной текст + 11 pt"/>
    <w:basedOn w:val="Textbody"/>
    <w:link w:val="11pt11"/>
    <w:qFormat/>
    <w:rPr>
      <w:sz w:val="22"/>
    </w:rPr>
  </w:style>
  <w:style w:type="character" w:styleId="5">
    <w:name w:val="Основной текст (5)"/>
    <w:link w:val="511"/>
    <w:qFormat/>
    <w:rPr>
      <w:rFonts w:ascii="Times New Roman" w:hAnsi="Times New Roman"/>
      <w:b/>
      <w:sz w:val="17"/>
    </w:rPr>
  </w:style>
  <w:style w:type="character" w:styleId="4pt1pt">
    <w:name w:val="Подпись к таблице + 4 pt;Не полужирный;Интервал 1 pt"/>
    <w:basedOn w:val="Style10"/>
    <w:link w:val="4pt1pt11"/>
    <w:qFormat/>
    <w:rPr>
      <w:spacing w:val="20"/>
      <w:sz w:val="8"/>
    </w:rPr>
  </w:style>
  <w:style w:type="character" w:styleId="311pt">
    <w:name w:val="Основной текст (3) + 11 pt;Полужирный"/>
    <w:basedOn w:val="31"/>
    <w:link w:val="311pt1"/>
    <w:qFormat/>
    <w:rPr>
      <w:b/>
      <w:sz w:val="22"/>
    </w:rPr>
  </w:style>
  <w:style w:type="character" w:styleId="1">
    <w:name w:val="Основной шрифт абзаца1"/>
    <w:link w:val="111"/>
    <w:qFormat/>
    <w:rPr/>
  </w:style>
  <w:style w:type="character" w:styleId="4pt2pt">
    <w:name w:val="Основной текст + 4 pt;Не курсив;Интервал 2 pt"/>
    <w:basedOn w:val="Textbody"/>
    <w:link w:val="4pt2pt1"/>
    <w:qFormat/>
    <w:rPr>
      <w:spacing w:val="50"/>
      <w:sz w:val="8"/>
    </w:rPr>
  </w:style>
  <w:style w:type="character" w:styleId="60pt">
    <w:name w:val="Подпись к таблице (6) + Курсив;Интервал 0 pt"/>
    <w:basedOn w:val="6"/>
    <w:link w:val="60pt1"/>
    <w:qFormat/>
    <w:rPr>
      <w:i/>
      <w:spacing w:val="0"/>
    </w:rPr>
  </w:style>
  <w:style w:type="character" w:styleId="410pt2pt">
    <w:name w:val="Подпись к таблице (4) + 10 pt;Курсив;Интервал 2 pt"/>
    <w:basedOn w:val="4"/>
    <w:link w:val="410pt2pt1"/>
    <w:qFormat/>
    <w:rPr>
      <w:i/>
      <w:spacing w:val="40"/>
      <w:sz w:val="20"/>
    </w:rPr>
  </w:style>
  <w:style w:type="character" w:styleId="28pt">
    <w:name w:val="Основной текст (2) + 8 pt;Курсив"/>
    <w:basedOn w:val="21"/>
    <w:link w:val="28pt1"/>
    <w:qFormat/>
    <w:rPr>
      <w:i/>
      <w:sz w:val="16"/>
    </w:rPr>
  </w:style>
  <w:style w:type="character" w:styleId="11">
    <w:name w:val="Обычный1"/>
    <w:link w:val="112"/>
    <w:qFormat/>
    <w:rPr>
      <w:rFonts w:ascii="Courier New" w:hAnsi="Courier New"/>
      <w:color w:val="000000"/>
      <w:spacing w:val="0"/>
      <w:sz w:val="24"/>
    </w:rPr>
  </w:style>
  <w:style w:type="character" w:styleId="Footer1">
    <w:name w:val="Footer1"/>
    <w:qFormat/>
    <w:rPr/>
  </w:style>
  <w:style w:type="character" w:styleId="Textbody">
    <w:name w:val="Text body"/>
    <w:qFormat/>
    <w:rPr>
      <w:rFonts w:ascii="Times New Roman" w:hAnsi="Times New Roman"/>
      <w:i/>
      <w:sz w:val="26"/>
    </w:rPr>
  </w:style>
  <w:style w:type="character" w:styleId="12">
    <w:name w:val="Гиперссылка1"/>
    <w:basedOn w:val="1"/>
    <w:link w:val="113"/>
    <w:qFormat/>
    <w:rPr>
      <w:color w:val="0066CC"/>
      <w:u w:val="single"/>
    </w:rPr>
  </w:style>
  <w:style w:type="character" w:styleId="DefaultParagraphFont">
    <w:name w:val="Default Paragraph Font"/>
    <w:link w:val="DefaultParagraphFont1"/>
    <w:qFormat/>
    <w:rPr/>
  </w:style>
  <w:style w:type="character" w:styleId="11pt1">
    <w:name w:val="Основной текст + 11 pt;Полужирный;Не курсив"/>
    <w:basedOn w:val="Textbody"/>
    <w:link w:val="11pt12"/>
    <w:qFormat/>
    <w:rPr>
      <w:b/>
      <w:sz w:val="22"/>
    </w:rPr>
  </w:style>
  <w:style w:type="character" w:styleId="Style11">
    <w:name w:val="Основной текст + Не курсив"/>
    <w:basedOn w:val="Textbody"/>
    <w:link w:val="18"/>
    <w:qFormat/>
    <w:rPr/>
  </w:style>
  <w:style w:type="character" w:styleId="13">
    <w:name w:val="Основной текст1"/>
    <w:basedOn w:val="Textbody"/>
    <w:link w:val="114"/>
    <w:qFormat/>
    <w:rPr>
      <w:rFonts w:ascii="Times New Roman" w:hAnsi="Times New Roman"/>
      <w:b w:val="false"/>
      <w:i/>
      <w:caps w:val="false"/>
      <w:smallCaps w:val="false"/>
      <w:strike w:val="false"/>
      <w:dstrike w:val="false"/>
      <w:color w:val="000000"/>
      <w:spacing w:val="0"/>
      <w:sz w:val="26"/>
      <w:u w:val="single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2">
    <w:name w:val="Подпись к таблице (2)"/>
    <w:link w:val="211"/>
    <w:qFormat/>
    <w:rPr>
      <w:rFonts w:ascii="Times New Roman" w:hAnsi="Times New Roman"/>
      <w:i/>
      <w:sz w:val="22"/>
    </w:rPr>
  </w:style>
  <w:style w:type="character" w:styleId="54pt">
    <w:name w:val="Подпись к таблице (5) + 4 pt;Курсив"/>
    <w:basedOn w:val="51"/>
    <w:link w:val="54pt1"/>
    <w:qFormat/>
    <w:rPr>
      <w:i/>
      <w:sz w:val="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er1">
    <w:name w:val="Header1"/>
    <w:qFormat/>
    <w:rPr/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4">
    <w:name w:val="Подпись к таблице (4)"/>
    <w:link w:val="411"/>
    <w:qFormat/>
    <w:rPr>
      <w:rFonts w:ascii="Times New Roman" w:hAnsi="Times New Roman"/>
      <w:sz w:val="26"/>
    </w:rPr>
  </w:style>
  <w:style w:type="character" w:styleId="21">
    <w:name w:val="Основной текст (2)"/>
    <w:link w:val="212"/>
    <w:qFormat/>
    <w:rPr>
      <w:rFonts w:ascii="Times New Roman" w:hAnsi="Times New Roman"/>
      <w:sz w:val="23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7">
    <w:name w:val="Подпись к таблице (7)"/>
    <w:link w:val="711"/>
    <w:qFormat/>
    <w:rPr>
      <w:rFonts w:ascii="Times New Roman" w:hAnsi="Times New Roman"/>
      <w:sz w:val="15"/>
    </w:rPr>
  </w:style>
  <w:style w:type="character" w:styleId="32">
    <w:name w:val="Основной текст (3) + Курсив"/>
    <w:basedOn w:val="31"/>
    <w:link w:val="313"/>
    <w:qFormat/>
    <w:rPr>
      <w:i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1pt">
    <w:name w:val="Сноска + Интервал 1 pt"/>
    <w:basedOn w:val="Style13"/>
    <w:link w:val="1pt1"/>
    <w:qFormat/>
    <w:rPr>
      <w:spacing w:val="30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Style12">
    <w:name w:val="Колонтитул"/>
    <w:link w:val="17"/>
    <w:qFormat/>
    <w:rPr/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4pt1pt1">
    <w:name w:val="Основной текст + 4 pt;Не курсив;Интервал 1 pt"/>
    <w:basedOn w:val="Textbody"/>
    <w:link w:val="4pt1pt12"/>
    <w:qFormat/>
    <w:rPr>
      <w:spacing w:val="20"/>
      <w:sz w:val="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51">
    <w:name w:val="Подпись к таблице (5)"/>
    <w:link w:val="512"/>
    <w:qFormat/>
    <w:rPr>
      <w:rFonts w:ascii="Times New Roman" w:hAnsi="Times New Roman"/>
      <w:sz w:val="16"/>
    </w:rPr>
  </w:style>
  <w:style w:type="character" w:styleId="Subtitle1">
    <w:name w:val="Subtitle1"/>
    <w:qFormat/>
    <w:rPr>
      <w:rFonts w:ascii="XO Thames" w:hAnsi="XO Thames"/>
      <w:i/>
    </w:rPr>
  </w:style>
  <w:style w:type="character" w:styleId="41">
    <w:name w:val="Основной текст (4)"/>
    <w:link w:val="412"/>
    <w:qFormat/>
    <w:rPr>
      <w:rFonts w:ascii="Times New Roman" w:hAnsi="Times New Roman"/>
      <w:b/>
      <w:sz w:val="22"/>
    </w:rPr>
  </w:style>
  <w:style w:type="character" w:styleId="Style13">
    <w:name w:val="Сноска"/>
    <w:qFormat/>
    <w:rPr>
      <w:rFonts w:ascii="Times New Roman" w:hAnsi="Times New Roman"/>
      <w:b/>
      <w:sz w:val="17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</w:rPr>
  </w:style>
  <w:style w:type="character" w:styleId="14">
    <w:name w:val="Заголовок №1"/>
    <w:link w:val="115"/>
    <w:qFormat/>
    <w:rPr>
      <w:rFonts w:ascii="Times New Roman" w:hAnsi="Times New Roman"/>
      <w:b/>
      <w:sz w:val="26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CenturyGothic0pt">
    <w:name w:val="Колонтитул + Century Gothic;Интервал 0 pt"/>
    <w:basedOn w:val="Style12"/>
    <w:link w:val="CenturyGothic0pt1"/>
    <w:qFormat/>
    <w:rPr>
      <w:rFonts w:ascii="Century Gothic" w:hAnsi="Century Gothic"/>
      <w:spacing w:val="-10"/>
    </w:rPr>
  </w:style>
  <w:style w:type="character" w:styleId="Style14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Style16">
    <w:name w:val="Символ нумерации"/>
    <w:qFormat/>
    <w:rPr/>
  </w:style>
  <w:style w:type="character" w:styleId="Style17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tLeast" w:line="0" w:before="0" w:after="240"/>
      <w:jc w:val="both"/>
    </w:pPr>
    <w:rPr>
      <w:rFonts w:ascii="Times New Roman" w:hAnsi="Times New Roman"/>
      <w:i/>
      <w:sz w:val="26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TOC2">
    <w:name w:val="TOC 2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5">
    <w:name w:val="Подпись к таблице + Не полужирный;Курсив1"/>
    <w:basedOn w:val="16"/>
    <w:link w:val="Style9"/>
    <w:qFormat/>
    <w:pPr/>
    <w:rPr>
      <w:i/>
    </w:rPr>
  </w:style>
  <w:style w:type="paragraph" w:styleId="311">
    <w:name w:val="Подпись к таблице (3)1"/>
    <w:basedOn w:val="Normal"/>
    <w:link w:val="3"/>
    <w:qFormat/>
    <w:pPr>
      <w:spacing w:lineRule="atLeast" w:line="0"/>
    </w:pPr>
    <w:rPr>
      <w:rFonts w:ascii="Times New Roman" w:hAnsi="Times New Roman"/>
      <w:b/>
      <w:sz w:val="22"/>
    </w:rPr>
  </w:style>
  <w:style w:type="paragraph" w:styleId="61">
    <w:name w:val="Подпись к таблице (6)1"/>
    <w:basedOn w:val="Normal"/>
    <w:link w:val="6"/>
    <w:qFormat/>
    <w:pPr>
      <w:spacing w:lineRule="atLeast" w:line="0" w:before="180" w:after="0"/>
      <w:jc w:val="both"/>
    </w:pPr>
    <w:rPr>
      <w:rFonts w:ascii="Times New Roman" w:hAnsi="Times New Roman"/>
      <w:spacing w:val="50"/>
      <w:sz w:val="8"/>
    </w:rPr>
  </w:style>
  <w:style w:type="paragraph" w:styleId="TOC4">
    <w:name w:val="TOC 4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andara10pt1">
    <w:name w:val="Основной текст + Candara;10 pt1"/>
    <w:basedOn w:val="BodyText"/>
    <w:link w:val="Candara10pt"/>
    <w:qFormat/>
    <w:pPr/>
    <w:rPr>
      <w:rFonts w:ascii="Candara" w:hAnsi="Candara"/>
      <w:sz w:val="20"/>
    </w:rPr>
  </w:style>
  <w:style w:type="paragraph" w:styleId="TOC7">
    <w:name w:val="TOC 7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 w:val="false"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Droid Sans Fallback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6">
    <w:name w:val="Подпись к таблице1"/>
    <w:basedOn w:val="Normal"/>
    <w:link w:val="Style10"/>
    <w:qFormat/>
    <w:pPr>
      <w:spacing w:lineRule="exact" w:line="235"/>
      <w:jc w:val="both"/>
    </w:pPr>
    <w:rPr>
      <w:rFonts w:ascii="Times New Roman" w:hAnsi="Times New Roman"/>
      <w:b/>
      <w:sz w:val="17"/>
    </w:rPr>
  </w:style>
  <w:style w:type="paragraph" w:styleId="312">
    <w:name w:val="Основной текст (3)1"/>
    <w:basedOn w:val="Normal"/>
    <w:link w:val="31"/>
    <w:qFormat/>
    <w:pPr>
      <w:spacing w:lineRule="exact" w:line="326" w:before="0" w:after="600"/>
    </w:pPr>
    <w:rPr>
      <w:rFonts w:ascii="Times New Roman" w:hAnsi="Times New Roman"/>
      <w:sz w:val="26"/>
    </w:rPr>
  </w:style>
  <w:style w:type="paragraph" w:styleId="11pt11">
    <w:name w:val="Основной текст + 11 pt1"/>
    <w:basedOn w:val="BodyText"/>
    <w:link w:val="11pt"/>
    <w:qFormat/>
    <w:pPr/>
    <w:rPr>
      <w:sz w:val="22"/>
    </w:rPr>
  </w:style>
  <w:style w:type="paragraph" w:styleId="511">
    <w:name w:val="Основной текст (5)1"/>
    <w:basedOn w:val="Normal"/>
    <w:link w:val="5"/>
    <w:qFormat/>
    <w:pPr>
      <w:spacing w:lineRule="exact" w:line="230" w:before="4020" w:after="0"/>
      <w:ind w:firstLine="720" w:left="0"/>
    </w:pPr>
    <w:rPr>
      <w:rFonts w:ascii="Times New Roman" w:hAnsi="Times New Roman"/>
      <w:b/>
      <w:sz w:val="17"/>
    </w:rPr>
  </w:style>
  <w:style w:type="paragraph" w:styleId="4pt1pt11">
    <w:name w:val="Подпись к таблице + 4 pt;Не полужирный;Интервал 1 pt1"/>
    <w:basedOn w:val="16"/>
    <w:link w:val="4pt1pt"/>
    <w:qFormat/>
    <w:pPr/>
    <w:rPr>
      <w:spacing w:val="20"/>
      <w:sz w:val="8"/>
    </w:rPr>
  </w:style>
  <w:style w:type="paragraph" w:styleId="311pt1">
    <w:name w:val="Основной текст (3) + 11 pt;Полужирный1"/>
    <w:basedOn w:val="312"/>
    <w:link w:val="311pt"/>
    <w:qFormat/>
    <w:pPr/>
    <w:rPr>
      <w:b/>
      <w:sz w:val="22"/>
    </w:rPr>
  </w:style>
  <w:style w:type="paragraph" w:styleId="111">
    <w:name w:val="Основной шрифт абзаца11"/>
    <w:link w:val="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4pt2pt1">
    <w:name w:val="Основной текст + 4 pt;Не курсив;Интервал 2 pt1"/>
    <w:basedOn w:val="BodyText"/>
    <w:link w:val="4pt2pt"/>
    <w:qFormat/>
    <w:pPr/>
    <w:rPr>
      <w:spacing w:val="50"/>
      <w:sz w:val="8"/>
    </w:rPr>
  </w:style>
  <w:style w:type="paragraph" w:styleId="60pt1">
    <w:name w:val="Подпись к таблице (6) + Курсив;Интервал 0 pt1"/>
    <w:basedOn w:val="61"/>
    <w:link w:val="60pt"/>
    <w:qFormat/>
    <w:pPr/>
    <w:rPr>
      <w:i/>
      <w:spacing w:val="0"/>
    </w:rPr>
  </w:style>
  <w:style w:type="paragraph" w:styleId="410pt2pt1">
    <w:name w:val="Подпись к таблице (4) + 10 pt;Курсив;Интервал 2 pt1"/>
    <w:basedOn w:val="411"/>
    <w:link w:val="410pt2pt"/>
    <w:qFormat/>
    <w:pPr/>
    <w:rPr>
      <w:i/>
      <w:spacing w:val="40"/>
      <w:sz w:val="20"/>
    </w:rPr>
  </w:style>
  <w:style w:type="paragraph" w:styleId="28pt1">
    <w:name w:val="Основной текст (2) + 8 pt;Курсив1"/>
    <w:basedOn w:val="212"/>
    <w:link w:val="28pt"/>
    <w:qFormat/>
    <w:pPr/>
    <w:rPr>
      <w:i/>
      <w:sz w:val="16"/>
    </w:rPr>
  </w:style>
  <w:style w:type="paragraph" w:styleId="112">
    <w:name w:val="Обычный11"/>
    <w:link w:val="1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7">
    <w:name w:val="Колонтитул1"/>
    <w:basedOn w:val="Normal"/>
    <w:link w:val="Style12"/>
    <w:qFormat/>
    <w:pPr/>
    <w:rPr/>
  </w:style>
  <w:style w:type="paragraph" w:styleId="22">
    <w:name w:val="Колонтитул2"/>
    <w:basedOn w:val="Normal"/>
    <w:qFormat/>
    <w:pPr/>
    <w:rPr/>
  </w:style>
  <w:style w:type="paragraph" w:styleId="33">
    <w:name w:val="Колонтитул3"/>
    <w:basedOn w:val="Normal"/>
    <w:qFormat/>
    <w:pPr/>
    <w:rPr/>
  </w:style>
  <w:style w:type="paragraph" w:styleId="42">
    <w:name w:val="Колонтитул4"/>
    <w:basedOn w:val="Normal"/>
    <w:qFormat/>
    <w:pPr/>
    <w:rPr/>
  </w:style>
  <w:style w:type="paragraph" w:styleId="52">
    <w:name w:val="Колонтитул5"/>
    <w:basedOn w:val="Normal"/>
    <w:qFormat/>
    <w:pPr/>
    <w:rPr/>
  </w:style>
  <w:style w:type="paragraph" w:styleId="62">
    <w:name w:val="Колонтитул6"/>
    <w:basedOn w:val="Normal"/>
    <w:qFormat/>
    <w:pPr/>
    <w:rPr/>
  </w:style>
  <w:style w:type="paragraph" w:styleId="71">
    <w:name w:val="Колонтитул7"/>
    <w:basedOn w:val="Normal"/>
    <w:qFormat/>
    <w:pPr/>
    <w:rPr/>
  </w:style>
  <w:style w:type="paragraph" w:styleId="8">
    <w:name w:val="Колонтитул8"/>
    <w:basedOn w:val="Normal"/>
    <w:qFormat/>
    <w:pPr/>
    <w:rPr/>
  </w:style>
  <w:style w:type="paragraph" w:styleId="9">
    <w:name w:val="Колонтитул9"/>
    <w:basedOn w:val="Normal"/>
    <w:qFormat/>
    <w:pPr/>
    <w:rPr/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113">
    <w:name w:val="Гиперссылка11"/>
    <w:basedOn w:val="111"/>
    <w:link w:val="12"/>
    <w:qFormat/>
    <w:pPr/>
    <w:rPr>
      <w:color w:val="0066CC"/>
      <w:u w:val="single"/>
    </w:rPr>
  </w:style>
  <w:style w:type="paragraph" w:styleId="DefaultParagraphFont1">
    <w:name w:val="Default Paragraph Font1"/>
    <w:link w:val="DefaultParagraphFon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1pt12">
    <w:name w:val="Основной текст + 11 pt;Полужирный;Не курсив1"/>
    <w:basedOn w:val="BodyText"/>
    <w:link w:val="11pt1"/>
    <w:qFormat/>
    <w:pPr/>
    <w:rPr>
      <w:b/>
      <w:sz w:val="22"/>
    </w:rPr>
  </w:style>
  <w:style w:type="paragraph" w:styleId="18">
    <w:name w:val="Основной текст + Не курсив1"/>
    <w:basedOn w:val="BodyText"/>
    <w:link w:val="Style11"/>
    <w:qFormat/>
    <w:pPr/>
    <w:rPr/>
  </w:style>
  <w:style w:type="paragraph" w:styleId="114">
    <w:name w:val="Основной текст11"/>
    <w:basedOn w:val="BodyText"/>
    <w:link w:val="13"/>
    <w:qFormat/>
    <w:pPr/>
    <w:rPr>
      <w:rFonts w:ascii="Times New Roman" w:hAnsi="Times New Roman"/>
      <w:b w:val="false"/>
      <w:i/>
      <w:caps w:val="false"/>
      <w:smallCaps w:val="false"/>
      <w:strike w:val="false"/>
      <w:dstrike w:val="false"/>
      <w:color w:val="000000"/>
      <w:spacing w:val="0"/>
      <w:sz w:val="26"/>
      <w:u w:val="single"/>
    </w:rPr>
  </w:style>
  <w:style w:type="paragraph" w:styleId="TOC3">
    <w:name w:val="TOC 3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1">
    <w:name w:val="Подпись к таблице (2)1"/>
    <w:basedOn w:val="Normal"/>
    <w:link w:val="2"/>
    <w:qFormat/>
    <w:pPr>
      <w:spacing w:lineRule="atLeast" w:line="0"/>
    </w:pPr>
    <w:rPr>
      <w:rFonts w:ascii="Times New Roman" w:hAnsi="Times New Roman"/>
      <w:i/>
      <w:sz w:val="22"/>
    </w:rPr>
  </w:style>
  <w:style w:type="paragraph" w:styleId="54pt1">
    <w:name w:val="Подпись к таблице (5) + 4 pt;Курсив1"/>
    <w:basedOn w:val="512"/>
    <w:link w:val="54pt"/>
    <w:qFormat/>
    <w:pPr/>
    <w:rPr>
      <w:i/>
      <w:sz w:val="8"/>
    </w:rPr>
  </w:style>
  <w:style w:type="paragraph" w:styleId="Header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411">
    <w:name w:val="Подпись к таблице (4)1"/>
    <w:basedOn w:val="Normal"/>
    <w:link w:val="4"/>
    <w:qFormat/>
    <w:pPr>
      <w:spacing w:lineRule="atLeast" w:line="0" w:before="180" w:after="0"/>
      <w:jc w:val="both"/>
    </w:pPr>
    <w:rPr>
      <w:rFonts w:ascii="Times New Roman" w:hAnsi="Times New Roman"/>
      <w:sz w:val="26"/>
    </w:rPr>
  </w:style>
  <w:style w:type="paragraph" w:styleId="212">
    <w:name w:val="Основной текст (2)1"/>
    <w:basedOn w:val="Normal"/>
    <w:link w:val="21"/>
    <w:qFormat/>
    <w:pPr>
      <w:spacing w:lineRule="exact" w:line="326"/>
      <w:jc w:val="both"/>
    </w:pPr>
    <w:rPr>
      <w:rFonts w:ascii="Times New Roman" w:hAnsi="Times New Roman"/>
      <w:sz w:val="23"/>
    </w:rPr>
  </w:style>
  <w:style w:type="paragraph" w:styleId="Internetlink">
    <w:name w:val="Internet link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Droid Sans Fallback" w:cs="Lohit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 w:val="false"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Droid Sans Fallback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711">
    <w:name w:val="Подпись к таблице (7)1"/>
    <w:basedOn w:val="Normal"/>
    <w:link w:val="7"/>
    <w:qFormat/>
    <w:pPr>
      <w:spacing w:lineRule="atLeast" w:line="0" w:before="120" w:after="0"/>
      <w:jc w:val="both"/>
    </w:pPr>
    <w:rPr>
      <w:rFonts w:ascii="Times New Roman" w:hAnsi="Times New Roman"/>
      <w:sz w:val="15"/>
    </w:rPr>
  </w:style>
  <w:style w:type="paragraph" w:styleId="313">
    <w:name w:val="Основной текст (3) + Курсив1"/>
    <w:basedOn w:val="312"/>
    <w:link w:val="32"/>
    <w:qFormat/>
    <w:pPr/>
    <w:rPr>
      <w:i/>
    </w:rPr>
  </w:style>
  <w:style w:type="paragraph" w:styleId="TOC1">
    <w:name w:val="TOC 1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pt1">
    <w:name w:val="Сноска + Интервал 1 pt1"/>
    <w:basedOn w:val="FootnoteText"/>
    <w:link w:val="1pt"/>
    <w:qFormat/>
    <w:pPr/>
    <w:rPr>
      <w:spacing w:val="30"/>
    </w:rPr>
  </w:style>
  <w:style w:type="paragraph" w:styleId="FootnoteText">
    <w:name w:val="Footnote Text"/>
    <w:basedOn w:val="Normal"/>
    <w:link w:val="Style13"/>
    <w:pPr>
      <w:spacing w:lineRule="atLeast" w:line="0"/>
    </w:pPr>
    <w:rPr>
      <w:rFonts w:ascii="Times New Roman" w:hAnsi="Times New Roman"/>
      <w:b/>
      <w:sz w:val="17"/>
    </w:rPr>
  </w:style>
  <w:style w:type="paragraph" w:styleId="TOC9">
    <w:name w:val="TOC 9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pt1pt12">
    <w:name w:val="Основной текст + 4 pt;Не курсив;Интервал 1 pt1"/>
    <w:basedOn w:val="BodyText"/>
    <w:link w:val="4pt1pt1"/>
    <w:qFormat/>
    <w:pPr/>
    <w:rPr>
      <w:spacing w:val="20"/>
      <w:sz w:val="8"/>
    </w:rPr>
  </w:style>
  <w:style w:type="paragraph" w:styleId="TOC5">
    <w:name w:val="TOC 5"/>
    <w:next w:val="Normal"/>
    <w:uiPriority w:val="39"/>
    <w:pPr>
      <w:widowControl w:val="false"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Droid Sans Fallback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12">
    <w:name w:val="Подпись к таблице (5)1"/>
    <w:basedOn w:val="Normal"/>
    <w:link w:val="51"/>
    <w:qFormat/>
    <w:pPr>
      <w:spacing w:lineRule="atLeast" w:line="0" w:before="0" w:after="180"/>
      <w:jc w:val="both"/>
    </w:pPr>
    <w:rPr>
      <w:rFonts w:ascii="Times New Roman" w:hAnsi="Times New Roman"/>
      <w:sz w:val="16"/>
    </w:rPr>
  </w:style>
  <w:style w:type="paragraph" w:styleId="Subtitle">
    <w:name w:val="Subtitle"/>
    <w:next w:val="Normal"/>
    <w:uiPriority w:val="1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Droid Sans Fallback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412">
    <w:name w:val="Основной текст (4)1"/>
    <w:basedOn w:val="Normal"/>
    <w:link w:val="41"/>
    <w:qFormat/>
    <w:pPr>
      <w:spacing w:lineRule="atLeast" w:line="0"/>
    </w:pPr>
    <w:rPr>
      <w:rFonts w:ascii="Times New Roman" w:hAnsi="Times New Roman"/>
      <w:b/>
      <w:sz w:val="22"/>
    </w:rPr>
  </w:style>
  <w:style w:type="paragraph" w:styleId="Title">
    <w:name w:val="Title"/>
    <w:next w:val="Normal"/>
    <w:uiPriority w:val="10"/>
    <w:qFormat/>
    <w:pPr>
      <w:widowControl w:val="false"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Droid Sans Fallback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115">
    <w:name w:val="Заголовок №11"/>
    <w:basedOn w:val="Normal"/>
    <w:link w:val="14"/>
    <w:qFormat/>
    <w:pPr>
      <w:spacing w:lineRule="atLeast" w:line="0" w:before="600" w:after="120"/>
      <w:jc w:val="both"/>
      <w:outlineLvl w:val="0"/>
    </w:pPr>
    <w:rPr>
      <w:rFonts w:ascii="Times New Roman" w:hAnsi="Times New Roman"/>
      <w:b/>
      <w:sz w:val="26"/>
    </w:rPr>
  </w:style>
  <w:style w:type="paragraph" w:styleId="CenturyGothic0pt1">
    <w:name w:val="Колонтитул + Century Gothic;Интервал 0 pt1"/>
    <w:basedOn w:val="17"/>
    <w:link w:val="CenturyGothic0pt"/>
    <w:qFormat/>
    <w:pPr/>
    <w:rPr>
      <w:rFonts w:ascii="Century Gothic" w:hAnsi="Century Gothic"/>
      <w:spacing w:val="-10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table" w:default="1" w:styleId="Style_4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 pitchFamily="0" charset="1"/>
        <a:ea typeface=""/>
        <a:cs typeface=""/>
      </a:majorFont>
      <a:minorFont>
        <a:latin typeface="XO Thame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0">
          <a:prstDash val="solid"/>
        </a:ln>
        <a:ln w="0">
          <a:prstDash val="solid"/>
        </a:ln>
        <a:ln w="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LibreOffice/7.6.7.2$Linux_X86_64 LibreOffice_project/60$Build-2</Application>
  <AppVersion>15.0000</AppVersion>
  <Pages>10</Pages>
  <Words>2215</Words>
  <Characters>17711</Characters>
  <CharactersWithSpaces>19767</CharactersWithSpaces>
  <Paragraphs>198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2026-04-28T12:39:20Z</cp:lastPrinted>
  <dcterms:modified xsi:type="dcterms:W3CDTF">2026-04-30T14:17:58Z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