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firstLine="709"/>
        <w:jc w:val="center"/>
        <w:rPr>
          <w:smallCaps/>
          <w:sz w:val="28"/>
          <w:szCs w:val="28"/>
        </w:rPr>
      </w:pPr>
      <w:r>
        <w:rPr>
          <w:smallCaps/>
          <w:sz w:val="28"/>
          <w:szCs w:val="28"/>
        </w:rPr>
        <w:t>Администрация Вилючинского городского округа</w:t>
      </w:r>
    </w:p>
    <w:p>
      <w:pPr>
        <w:pStyle w:val="Normal"/>
        <w:ind w:firstLine="709"/>
        <w:jc w:val="center"/>
        <w:rPr>
          <w:smallCaps/>
          <w:sz w:val="28"/>
          <w:szCs w:val="28"/>
        </w:rPr>
      </w:pPr>
      <w:r>
        <w:rPr>
          <w:smallCaps/>
          <w:sz w:val="28"/>
          <w:szCs w:val="28"/>
        </w:rPr>
        <w:t>закрытого административно-территориального образования</w:t>
      </w:r>
    </w:p>
    <w:p>
      <w:pPr>
        <w:pStyle w:val="Normal"/>
        <w:ind w:firstLine="709"/>
        <w:jc w:val="center"/>
        <w:rPr>
          <w:smallCaps/>
          <w:sz w:val="28"/>
          <w:szCs w:val="28"/>
        </w:rPr>
      </w:pPr>
      <w:r>
        <w:rPr>
          <w:smallCaps/>
          <w:sz w:val="28"/>
          <w:szCs w:val="28"/>
        </w:rPr>
        <w:t>города Вилючинска Камчатского края</w:t>
      </w:r>
    </w:p>
    <w:p>
      <w:pPr>
        <w:pStyle w:val="Heading5"/>
        <w:jc w:val="center"/>
        <w:rPr>
          <w:i w:val="false"/>
          <w:i w:val="false"/>
          <w:sz w:val="40"/>
          <w:szCs w:val="40"/>
        </w:rPr>
      </w:pPr>
      <w:r>
        <w:rPr>
          <w:i w:val="false"/>
          <w:sz w:val="40"/>
          <w:szCs w:val="40"/>
        </w:rPr>
        <w:t>П О С Т А Н О В Л Е Н И Е</w:t>
      </w:r>
    </w:p>
    <w:p>
      <w:pPr>
        <w:pStyle w:val="Normal"/>
        <w:rPr/>
      </w:pPr>
      <w:r>
        <w:rPr/>
      </w:r>
    </w:p>
    <w:p>
      <w:pPr>
        <w:pStyle w:val="Heading4"/>
        <w:spacing w:before="0" w:after="0"/>
        <w:jc w:val="both"/>
        <w:rPr>
          <w:rFonts w:ascii="Times New Roman" w:hAnsi="Times New Roman"/>
          <w:b w:val="false"/>
          <w:sz w:val="28"/>
          <w:szCs w:val="28"/>
        </w:rPr>
      </w:pPr>
      <w:r>
        <w:rPr>
          <w:rFonts w:ascii="Times New Roman" w:hAnsi="Times New Roman"/>
          <w:b w:val="false"/>
          <w:sz w:val="28"/>
          <w:szCs w:val="28"/>
        </w:rPr>
        <w:t>07.04.2026</w:t>
      </w:r>
      <w:r>
        <w:rPr>
          <w:rFonts w:ascii="Times New Roman" w:hAnsi="Times New Roman"/>
          <w:b w:val="false"/>
          <w:sz w:val="28"/>
          <w:szCs w:val="28"/>
        </w:rPr>
        <w:t xml:space="preserve">                                   </w:t>
      </w:r>
      <w:bookmarkStart w:id="0" w:name="_GoBack"/>
      <w:bookmarkEnd w:id="0"/>
      <w:r>
        <w:rPr>
          <w:rFonts w:ascii="Times New Roman" w:hAnsi="Times New Roman"/>
          <w:b w:val="false"/>
          <w:sz w:val="28"/>
          <w:szCs w:val="28"/>
        </w:rPr>
        <w:t xml:space="preserve">                                                                     № </w:t>
      </w:r>
      <w:r>
        <w:rPr>
          <w:rFonts w:ascii="Times New Roman" w:hAnsi="Times New Roman"/>
          <w:b w:val="false"/>
          <w:sz w:val="28"/>
          <w:szCs w:val="28"/>
        </w:rPr>
        <w:t>298</w:t>
      </w:r>
    </w:p>
    <w:p>
      <w:pPr>
        <w:pStyle w:val="Normal"/>
        <w:rPr/>
      </w:pPr>
      <w:r>
        <w:rPr/>
      </w:r>
    </w:p>
    <w:p>
      <w:pPr>
        <w:pStyle w:val="Normal"/>
        <w:jc w:val="center"/>
        <w:rPr>
          <w:sz w:val="20"/>
        </w:rPr>
      </w:pPr>
      <w:r>
        <w:rPr>
          <w:sz w:val="20"/>
        </w:rPr>
        <w:t>г. Вилючинск</w:t>
      </w:r>
    </w:p>
    <w:p>
      <w:pPr>
        <w:pStyle w:val="Normal"/>
        <w:ind w:right="5103"/>
        <w:rPr>
          <w:rStyle w:val="Style12"/>
          <w:color w:val="auto"/>
          <w:sz w:val="28"/>
          <w:szCs w:val="28"/>
        </w:rPr>
      </w:pPr>
      <w:r>
        <w:rPr>
          <w:color w:val="auto"/>
          <w:sz w:val="28"/>
          <w:szCs w:val="28"/>
        </w:rPr>
      </w:r>
    </w:p>
    <w:p>
      <w:pPr>
        <w:pStyle w:val="Normal"/>
        <w:ind w:right="4252"/>
        <w:jc w:val="both"/>
        <w:rPr/>
      </w:pPr>
      <w:r>
        <w:rPr>
          <w:rStyle w:val="Style12"/>
          <w:color w:val="auto"/>
          <w:sz w:val="28"/>
          <w:szCs w:val="28"/>
        </w:rPr>
        <w:t>Об утверждении Перечня муниципального имущества Вилючинского городского округа,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предоставления во владение и (или) пользование субъектам малого и среднего предпринимательства, организациям, образующим инфраструктуру поддержки субъектов малого и среднего предпринимательства и физическим лицам, которые не являются индивидуальными предпринимателями и применяют специальный налоговый режим «Налог на профессиональный доход» (самозанятые граждане)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Федерального закона от 20.03.2025 № 33-ФЗ «Об общих принципах организации местного самоуправления в единой системе публичной власти», Федерального закона от 22.07.2008 № 159-ФЗ «Об особенностях отчуждения движимого и недвижимого имущества, находящегося в государственной или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Федерации», Федерального закона от 24.07.2007 № 209-ФЗ «О развитии малого и среднего предпринимательства в Российской Федерации», статьи 16 Федерального закона от 06.10.2003 № 131-ФЗ «Об общих принципах организации местного самоуправления в Российской Федерации», приказа Министерства экономического развития Российской Федерации от 20.04.2016 № 264 «Об утверждении Порядка представления сведений об утверждённых перечнях государственного имущества и муниципального имущества, указанных в части 4 статьи 18 Федерального закона «О развитии малого и среднего предпринимательства в Российской Федерации», а также об изменениях, внесённых в такие перечни, в акционерное общество «Федеральная корпорация по развитию малого и среднего предпринимательства», формы представления и состава таких сведений», постановления администрации Вилючинского городского округа от 27.10.2016 № 1183 «Об имущественной поддержке субъектов малого и среднего предпринимательства в Вилючинском городском округе»,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hanging="0"/>
        <w:jc w:val="both"/>
        <w:rPr>
          <w:b/>
          <w:bCs/>
        </w:rPr>
      </w:pPr>
      <w:r>
        <w:rPr>
          <w:b/>
          <w:bCs/>
          <w:sz w:val="28"/>
          <w:szCs w:val="28"/>
        </w:rPr>
        <w:tab/>
        <w:t xml:space="preserve">ПОСТАНОВЛЯЮ: 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708"/>
        <w:jc w:val="both"/>
        <w:rPr>
          <w:sz w:val="28"/>
          <w:szCs w:val="28"/>
        </w:rPr>
      </w:pPr>
      <w:bookmarkStart w:id="1" w:name="sub_1"/>
      <w:bookmarkEnd w:id="1"/>
      <w:r>
        <w:rPr>
          <w:sz w:val="28"/>
          <w:szCs w:val="28"/>
        </w:rPr>
        <w:t xml:space="preserve">1. Утвердить сформированный </w:t>
      </w:r>
      <w:r>
        <w:rPr>
          <w:rStyle w:val="Style12"/>
          <w:color w:val="auto"/>
          <w:sz w:val="28"/>
          <w:szCs w:val="28"/>
        </w:rPr>
        <w:t xml:space="preserve">Перечень муниципального имущества Вилючинского городского округа,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предоставления во владение и (или) пользование субъектам малого и среднего предпринимательства, организациям, образующим инфраструктуру поддержки субъектов малого и среднего предпринимательства и физическим лицам, которые не являются индивидуальными предпринимателями и применяют специальный налоговый режим «Налог на профессиональный доход» (самозанятые граждане), </w:t>
      </w:r>
      <w:r>
        <w:rPr>
          <w:sz w:val="28"/>
          <w:szCs w:val="28"/>
        </w:rPr>
        <w:t xml:space="preserve">согласно </w:t>
      </w:r>
      <w:r>
        <w:rPr>
          <w:rStyle w:val="Style12"/>
          <w:color w:val="auto"/>
          <w:sz w:val="28"/>
          <w:szCs w:val="28"/>
        </w:rPr>
        <w:t>приложению к настоящему постановлению</w:t>
      </w:r>
      <w:r>
        <w:rPr>
          <w:sz w:val="28"/>
          <w:szCs w:val="28"/>
        </w:rPr>
        <w:t>.</w:t>
      </w:r>
    </w:p>
    <w:p>
      <w:pPr>
        <w:pStyle w:val="BodyText2"/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bookmarkStart w:id="2" w:name="sub_2"/>
      <w:r>
        <w:rPr>
          <w:sz w:val="28"/>
          <w:szCs w:val="28"/>
        </w:rPr>
        <w:t xml:space="preserve">. </w:t>
      </w:r>
      <w:bookmarkStart w:id="3" w:name="sub_3"/>
      <w:bookmarkEnd w:id="2"/>
      <w:r>
        <w:rPr>
          <w:sz w:val="28"/>
          <w:szCs w:val="28"/>
        </w:rPr>
        <w:t>Директору муниципального казенного учреждения «Ресурсно-информационный центр» Вилючинского городского округа опубликовать настоящее постановление в периодическом печатном издании «Вилючинская газета. Официальные известия администрации Вилючинского городского округа ЗАТО г. Вилючинска Камчатского края» и разместить на официальном сайте органов местного самоуправления Вилючинского городского округа в информационно-телекоммуникационной сети «Интернет».</w:t>
      </w:r>
    </w:p>
    <w:p>
      <w:pPr>
        <w:pStyle w:val="BodyText2"/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постановление вступает в силу после его официального опубликования (обнародования).</w:t>
      </w:r>
    </w:p>
    <w:p>
      <w:pPr>
        <w:pStyle w:val="Normal"/>
        <w:suppressAutoHyphens w:val="true"/>
        <w:ind w:firstLine="709"/>
        <w:jc w:val="both"/>
        <w:rPr>
          <w:sz w:val="28"/>
          <w:szCs w:val="28"/>
        </w:rPr>
      </w:pPr>
      <w:bookmarkEnd w:id="3"/>
      <w:r>
        <w:rPr>
          <w:sz w:val="28"/>
          <w:szCs w:val="28"/>
        </w:rPr>
        <w:t>4. Контроль за исполнением настоящего постановления возложить на заместителя главы администрации Вилючинского городского округа, председателя комитета по управлению муниципальным имуществом администрации Вилючинского городского округа Л.А. Тяпкину.</w:t>
      </w:r>
    </w:p>
    <w:p>
      <w:pPr>
        <w:pStyle w:val="Normal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</w:r>
    </w:p>
    <w:p>
      <w:pPr>
        <w:pStyle w:val="Normal"/>
        <w:tabs>
          <w:tab w:val="clear" w:pos="708"/>
          <w:tab w:val="left" w:pos="720" w:leader="none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tabs>
          <w:tab w:val="clear" w:pos="708"/>
          <w:tab w:val="left" w:pos="720" w:leader="none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 Вилючинского</w:t>
      </w:r>
    </w:p>
    <w:p>
      <w:pPr>
        <w:pStyle w:val="Normal"/>
        <w:tabs>
          <w:tab w:val="clear" w:pos="708"/>
          <w:tab w:val="left" w:pos="720" w:leader="none"/>
        </w:tabs>
        <w:jc w:val="both"/>
        <w:rPr>
          <w:b/>
          <w:sz w:val="28"/>
          <w:szCs w:val="28"/>
        </w:rPr>
      </w:pPr>
      <w:bookmarkStart w:id="4" w:name="sub_1100"/>
      <w:r>
        <w:rPr>
          <w:b/>
          <w:sz w:val="28"/>
          <w:szCs w:val="28"/>
        </w:rPr>
        <w:t>городского округа</w:t>
        <w:tab/>
        <w:t xml:space="preserve">                       </w:t>
        <w:tab/>
        <w:tab/>
        <w:t xml:space="preserve">                     </w:t>
      </w:r>
      <w:bookmarkEnd w:id="4"/>
      <w:r>
        <w:rPr>
          <w:b/>
          <w:sz w:val="28"/>
          <w:szCs w:val="28"/>
        </w:rPr>
        <w:t xml:space="preserve">    О.С. Бондаренко</w:t>
      </w:r>
    </w:p>
    <w:p>
      <w:pPr>
        <w:pStyle w:val="Normal"/>
        <w:jc w:val="both"/>
        <w:rPr>
          <w:szCs w:val="24"/>
        </w:rPr>
      </w:pPr>
      <w:r>
        <w:rPr>
          <w:szCs w:val="24"/>
        </w:rPr>
      </w:r>
    </w:p>
    <w:p>
      <w:pPr>
        <w:pStyle w:val="Normal"/>
        <w:jc w:val="both"/>
        <w:rPr>
          <w:szCs w:val="24"/>
        </w:rPr>
      </w:pPr>
      <w:r>
        <w:rPr>
          <w:szCs w:val="24"/>
        </w:rPr>
      </w:r>
    </w:p>
    <w:p>
      <w:pPr>
        <w:pStyle w:val="Normal"/>
        <w:jc w:val="both"/>
        <w:rPr>
          <w:szCs w:val="24"/>
        </w:rPr>
      </w:pPr>
      <w:r>
        <w:rPr>
          <w:szCs w:val="24"/>
        </w:rPr>
      </w:r>
    </w:p>
    <w:p>
      <w:pPr>
        <w:pStyle w:val="Normal"/>
        <w:jc w:val="both"/>
        <w:rPr>
          <w:szCs w:val="24"/>
        </w:rPr>
      </w:pPr>
      <w:r>
        <w:rPr>
          <w:szCs w:val="24"/>
        </w:rPr>
      </w:r>
    </w:p>
    <w:p>
      <w:pPr>
        <w:pStyle w:val="Normal"/>
        <w:jc w:val="both"/>
        <w:rPr>
          <w:szCs w:val="24"/>
        </w:rPr>
      </w:pPr>
      <w:r>
        <w:rPr>
          <w:szCs w:val="24"/>
        </w:rPr>
      </w:r>
    </w:p>
    <w:p>
      <w:pPr>
        <w:pStyle w:val="Normal"/>
        <w:jc w:val="both"/>
        <w:rPr>
          <w:szCs w:val="24"/>
        </w:rPr>
      </w:pPr>
      <w:r>
        <w:rPr>
          <w:szCs w:val="24"/>
        </w:rPr>
      </w:r>
    </w:p>
    <w:p>
      <w:pPr>
        <w:pStyle w:val="Normal"/>
        <w:jc w:val="both"/>
        <w:rPr>
          <w:szCs w:val="24"/>
        </w:rPr>
      </w:pPr>
      <w:r>
        <w:rPr>
          <w:szCs w:val="24"/>
        </w:rPr>
      </w:r>
    </w:p>
    <w:p>
      <w:pPr>
        <w:pStyle w:val="Normal"/>
        <w:jc w:val="both"/>
        <w:rPr>
          <w:szCs w:val="24"/>
        </w:rPr>
      </w:pPr>
      <w:r>
        <w:rPr>
          <w:szCs w:val="24"/>
        </w:rPr>
      </w:r>
    </w:p>
    <w:p>
      <w:pPr>
        <w:pStyle w:val="Normal"/>
        <w:jc w:val="both"/>
        <w:rPr>
          <w:szCs w:val="24"/>
        </w:rPr>
      </w:pPr>
      <w:r>
        <w:rPr>
          <w:szCs w:val="24"/>
        </w:rPr>
      </w:r>
    </w:p>
    <w:p>
      <w:pPr>
        <w:pStyle w:val="Normal"/>
        <w:jc w:val="both"/>
        <w:rPr>
          <w:szCs w:val="24"/>
        </w:rPr>
      </w:pPr>
      <w:r>
        <w:rPr>
          <w:szCs w:val="24"/>
        </w:rPr>
      </w:r>
    </w:p>
    <w:p>
      <w:pPr>
        <w:pStyle w:val="Normal"/>
        <w:jc w:val="both"/>
        <w:rPr>
          <w:szCs w:val="24"/>
        </w:rPr>
      </w:pPr>
      <w:r>
        <w:rPr>
          <w:szCs w:val="24"/>
        </w:rPr>
      </w:r>
    </w:p>
    <w:p>
      <w:pPr>
        <w:pStyle w:val="Normal"/>
        <w:jc w:val="both"/>
        <w:rPr>
          <w:szCs w:val="24"/>
        </w:rPr>
      </w:pPr>
      <w:r>
        <w:rPr>
          <w:szCs w:val="24"/>
        </w:rPr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>
          <w:rFonts w:ascii="Tempora LGC Uni" w:hAnsi="Tempora LGC Uni"/>
          <w:sz w:val="24"/>
          <w:szCs w:val="24"/>
        </w:rPr>
      </w:pPr>
      <w:r>
        <w:rPr>
          <w:rFonts w:ascii="Tempora LGC Uni" w:hAnsi="Tempora LGC Uni"/>
          <w:sz w:val="24"/>
          <w:szCs w:val="24"/>
        </w:rPr>
      </w:r>
    </w:p>
    <w:sectPr>
      <w:type w:val="nextPage"/>
      <w:pgSz w:w="11906" w:h="16838"/>
      <w:pgMar w:left="1701" w:right="567" w:gutter="0" w:header="0" w:top="567" w:footer="0" w:bottom="96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Tahoma">
    <w:charset w:val="01"/>
    <w:family w:val="roman"/>
    <w:pitch w:val="variable"/>
  </w:font>
  <w:font w:name="Open Sans">
    <w:charset w:val="01"/>
    <w:family w:val="roman"/>
    <w:pitch w:val="variable"/>
  </w:font>
  <w:font w:name="Tempora LGC Uni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9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Body Text 2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1e5ae1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Heading4">
    <w:name w:val="Heading 4"/>
    <w:basedOn w:val="Normal"/>
    <w:next w:val="Normal"/>
    <w:link w:val="4"/>
    <w:semiHidden/>
    <w:unhideWhenUsed/>
    <w:qFormat/>
    <w:rsid w:val="001e5ae1"/>
    <w:pPr>
      <w:keepNext w:val="true"/>
      <w:spacing w:before="120" w:after="0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link w:val="5"/>
    <w:unhideWhenUsed/>
    <w:qFormat/>
    <w:rsid w:val="001e5ae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4" w:customStyle="1">
    <w:name w:val="Заголовок 4 Знак"/>
    <w:basedOn w:val="DefaultParagraphFont"/>
    <w:semiHidden/>
    <w:qFormat/>
    <w:rsid w:val="001e5ae1"/>
    <w:rPr>
      <w:rFonts w:ascii="Arial" w:hAnsi="Arial" w:eastAsia="Times New Roman" w:cs="Times New Roman"/>
      <w:b/>
      <w:sz w:val="24"/>
      <w:szCs w:val="20"/>
      <w:lang w:eastAsia="ru-RU"/>
    </w:rPr>
  </w:style>
  <w:style w:type="character" w:styleId="5" w:customStyle="1">
    <w:name w:val="Заголовок 5 Знак"/>
    <w:basedOn w:val="DefaultParagraphFont"/>
    <w:qFormat/>
    <w:rsid w:val="001e5ae1"/>
    <w:rPr>
      <w:rFonts w:ascii="Times New Roman" w:hAnsi="Times New Roman" w:eastAsia="Times New Roman" w:cs="Times New Roman"/>
      <w:b/>
      <w:bCs/>
      <w:i/>
      <w:iCs/>
      <w:sz w:val="26"/>
      <w:szCs w:val="26"/>
      <w:lang w:eastAsia="ru-RU"/>
    </w:rPr>
  </w:style>
  <w:style w:type="character" w:styleId="2" w:customStyle="1">
    <w:name w:val="Основной текст 2 Знак"/>
    <w:basedOn w:val="DefaultParagraphFont"/>
    <w:link w:val="BodyText2"/>
    <w:semiHidden/>
    <w:qFormat/>
    <w:rsid w:val="001e5ae1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2" w:customStyle="1">
    <w:name w:val="Гипертекстовая ссылка"/>
    <w:uiPriority w:val="99"/>
    <w:qFormat/>
    <w:rsid w:val="001e5ae1"/>
    <w:rPr>
      <w:b w:val="false"/>
      <w:bCs w:val="false"/>
      <w:color w:val="106BBE"/>
    </w:rPr>
  </w:style>
  <w:style w:type="character" w:styleId="Style13" w:customStyle="1">
    <w:name w:val="Текст выноски Знак"/>
    <w:basedOn w:val="DefaultParagraphFont"/>
    <w:link w:val="BalloonText"/>
    <w:uiPriority w:val="99"/>
    <w:semiHidden/>
    <w:qFormat/>
    <w:rsid w:val="0003317b"/>
    <w:rPr>
      <w:rFonts w:ascii="Tahoma" w:hAnsi="Tahoma" w:eastAsia="Times New Roman" w:cs="Tahoma"/>
      <w:sz w:val="16"/>
      <w:szCs w:val="16"/>
      <w:lang w:eastAsia="ru-RU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Droid Sans Fallback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Lohit Devanagari"/>
    </w:rPr>
  </w:style>
  <w:style w:type="paragraph" w:styleId="BodyText2">
    <w:name w:val="Body Text 2"/>
    <w:basedOn w:val="Normal"/>
    <w:link w:val="2"/>
    <w:semiHidden/>
    <w:unhideWhenUsed/>
    <w:qFormat/>
    <w:rsid w:val="001e5ae1"/>
    <w:pPr>
      <w:spacing w:lineRule="auto" w:line="480" w:before="0" w:after="120"/>
    </w:pPr>
    <w:rPr>
      <w:szCs w:val="24"/>
    </w:rPr>
  </w:style>
  <w:style w:type="paragraph" w:styleId="BalloonText">
    <w:name w:val="Balloon Text"/>
    <w:basedOn w:val="Normal"/>
    <w:link w:val="Style13"/>
    <w:uiPriority w:val="99"/>
    <w:semiHidden/>
    <w:unhideWhenUsed/>
    <w:qFormat/>
    <w:rsid w:val="0003317b"/>
    <w:pPr/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607ff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600</TotalTime>
  <Application>LibreOffice/7.6.7.2$Linux_X86_64 LibreOffice_project/60$Build-2</Application>
  <AppVersion>15.0000</AppVersion>
  <Pages>2</Pages>
  <Words>439</Words>
  <Characters>3420</Characters>
  <CharactersWithSpaces>3999</CharactersWithSpaces>
  <Paragraphs>15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2019-12-17T22:18:00Z</dcterms:created>
  <dc:creator>Елена С. Бурхавецкая</dc:creator>
  <dc:description/>
  <dc:language>ru-RU</dc:language>
  <cp:lastModifiedBy/>
  <cp:lastPrinted>2026-04-01T15:08:21Z</cp:lastPrinted>
  <dcterms:modified xsi:type="dcterms:W3CDTF">2026-04-13T16:43:28Z</dcterms:modified>
  <cp:revision>42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