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>03.03.2026</w:t>
      </w:r>
      <w:r>
        <w:rPr>
          <w:bCs/>
          <w:sz w:val="28"/>
          <w:szCs w:val="28"/>
          <w:u w:val="none"/>
        </w:rPr>
        <w:t xml:space="preserve">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</w:t>
      </w:r>
      <w:r>
        <w:rPr>
          <w:bCs/>
          <w:sz w:val="28"/>
          <w:szCs w:val="28"/>
          <w:u w:val="none"/>
        </w:rPr>
        <w:t>170</w:t>
      </w:r>
      <w:r>
        <w:rPr>
          <w:bCs/>
          <w:sz w:val="28"/>
          <w:szCs w:val="28"/>
          <w:u w:val="none"/>
        </w:rPr>
        <w:t xml:space="preserve">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2">
        <w:r>
          <w:rPr>
            <w:rStyle w:val="Hyperlink"/>
            <w:color w:val="auto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23.05.2025 № 477/97-7 «О внесении изменений в решение Думы Вилючинского городского округа от 20.12.2024 № 432/86-7 «О местном бюджете на 2025 год и плановый период 2026 и 2027 годов»</w:t>
      </w:r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2018 - 2028 годы за счет всех источников финансирования составляет 4 528 559,77351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437 050,95630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445 309,66880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 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10 571, 36533 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3 165 298,58049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317 637,25630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>»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1 на 2018 – 2028 годы за счет всех источников финансирования составляет 4 501 521,85652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435 368,61972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435 636,95630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445 309,66880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бюджета 10 571,36533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бюджета 3 138 260,66350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316 223,25630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1.3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03.06.2025.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Application>LibreOffice/7.6.7.2$Linux_X86_64 LibreOffice_project/60$Build-2</Application>
  <AppVersion>15.0000</AppVersion>
  <Pages>4</Pages>
  <Words>929</Words>
  <Characters>5213</Characters>
  <CharactersWithSpaces>6227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2018-05-22T04:52:00Z</dcterms:created>
  <dc:creator>1</dc:creator>
  <dc:description/>
  <dc:language>ru-RU</dc:language>
  <cp:lastModifiedBy/>
  <cp:lastPrinted>2025-12-19T15:55:43Z</cp:lastPrinted>
  <dcterms:modified xsi:type="dcterms:W3CDTF">2026-04-06T17:52:57Z</dcterms:modified>
  <cp:revision>192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