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ind w:left="5954"/>
        <w:jc w:val="both"/>
        <w:rPr/>
      </w:pPr>
      <w:r>
        <w:rPr/>
        <w:t xml:space="preserve">Приложение к распоряжению администрации Вилючинского городского округа </w:t>
      </w:r>
    </w:p>
    <w:p>
      <w:pPr>
        <w:pStyle w:val="ConsPlusNormal"/>
        <w:tabs>
          <w:tab w:val="clear" w:pos="708"/>
          <w:tab w:val="left" w:pos="5670" w:leader="none"/>
        </w:tabs>
        <w:ind w:left="5954"/>
        <w:jc w:val="both"/>
        <w:rPr/>
      </w:pPr>
      <w:r>
        <w:rPr/>
        <w:t>08.10.2025 г. № 205</w:t>
      </w:r>
    </w:p>
    <w:p>
      <w:pPr>
        <w:pStyle w:val="Normal"/>
        <w:spacing w:before="0"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Порядок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проведения реинжиниринга межведомственных и внутриведомственных процессов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2"/>
        </w:numPr>
        <w:ind w:hanging="0"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Общие положения</w:t>
      </w:r>
    </w:p>
    <w:p>
      <w:pPr>
        <w:pStyle w:val="ListParagraph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Настоящий Порядок проведения реинжиниринга межведомственных и внутриведомственных процессов (далее – Порядок) разработан в целях регламентации работы органов Администрации Вилючинского городского округа (далее – органы Администрации) по проведению реинжиниринга межведомственных и внутриведомственных процессов </w:t>
      </w: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 xml:space="preserve">по следующим направлениям деятельности: </w:t>
      </w:r>
    </w:p>
    <w:p>
      <w:pPr>
        <w:pStyle w:val="ListParagraph"/>
        <w:numPr>
          <w:ilvl w:val="0"/>
          <w:numId w:val="3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предоставление муниципальных услуг;</w:t>
      </w:r>
    </w:p>
    <w:p>
      <w:pPr>
        <w:pStyle w:val="ListParagraph"/>
        <w:numPr>
          <w:ilvl w:val="0"/>
          <w:numId w:val="3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предоставление мер поддержки;</w:t>
      </w:r>
    </w:p>
    <w:p>
      <w:pPr>
        <w:pStyle w:val="ListParagraph"/>
        <w:numPr>
          <w:ilvl w:val="0"/>
          <w:numId w:val="3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муниципальный контроль (надзор);</w:t>
      </w:r>
    </w:p>
    <w:p>
      <w:pPr>
        <w:pStyle w:val="ListParagraph"/>
        <w:numPr>
          <w:ilvl w:val="0"/>
          <w:numId w:val="3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рассмотрение обращений и запросов;</w:t>
      </w:r>
    </w:p>
    <w:p>
      <w:pPr>
        <w:pStyle w:val="ListParagraph"/>
        <w:numPr>
          <w:ilvl w:val="0"/>
          <w:numId w:val="3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обеспечение доступа к информации о деятельности;</w:t>
      </w:r>
    </w:p>
    <w:p>
      <w:pPr>
        <w:pStyle w:val="ListParagraph"/>
        <w:numPr>
          <w:ilvl w:val="0"/>
          <w:numId w:val="3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организация отношений с внутренним клиентом;</w:t>
      </w:r>
    </w:p>
    <w:p>
      <w:pPr>
        <w:pStyle w:val="ListParagraph"/>
        <w:numPr>
          <w:ilvl w:val="0"/>
          <w:numId w:val="3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иные функции (обеспечение деятельности органа местного самоуправления).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Целью проведения реинжиниринга межведомственных и внутриведомственных процессов является совершенствование деятельности органов Администрации при взаимодействии с внешними и внутренними клиентами (далее – клиенты).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Реинжинирингу подлежат процессы, включенные в реестр межведомственных и внутриведомственных процессов, который утверждается локальным нормативным правовым актом органа Администрации.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Мероприятия по реинжинирингу процессов осуществляются в органах Администрации лицами, ответственными за исполнение мероприятий, проводимых в рамках работы по внедрению принципов и стандартов клиентоцентричности (далее – ответственное лицо).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Реинжиниринг процессов состоит из следующих этапов:</w:t>
      </w:r>
    </w:p>
    <w:p>
      <w:pPr>
        <w:pStyle w:val="ListParagraph"/>
        <w:numPr>
          <w:ilvl w:val="0"/>
          <w:numId w:val="5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исследование;</w:t>
      </w:r>
    </w:p>
    <w:p>
      <w:pPr>
        <w:pStyle w:val="ListParagraph"/>
        <w:numPr>
          <w:ilvl w:val="0"/>
          <w:numId w:val="5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проектирование;</w:t>
      </w:r>
    </w:p>
    <w:p>
      <w:pPr>
        <w:pStyle w:val="ListParagraph"/>
        <w:numPr>
          <w:ilvl w:val="0"/>
          <w:numId w:val="5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реализация.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Основаниями для проведения реинжиниринга процессов могут быть:</w:t>
      </w:r>
    </w:p>
    <w:p>
      <w:pPr>
        <w:pStyle w:val="ListParagraph"/>
        <w:numPr>
          <w:ilvl w:val="0"/>
          <w:numId w:val="4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поручение руководителя органа Администрации;</w:t>
      </w:r>
    </w:p>
    <w:p>
      <w:pPr>
        <w:pStyle w:val="ListParagraph"/>
        <w:numPr>
          <w:ilvl w:val="0"/>
          <w:numId w:val="4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 xml:space="preserve">устойчивое снижение в течение более трех месяцев подряд уровня удовлетворенности клиентов процессом; </w:t>
      </w:r>
    </w:p>
    <w:p>
      <w:pPr>
        <w:pStyle w:val="ListParagraph"/>
        <w:numPr>
          <w:ilvl w:val="0"/>
          <w:numId w:val="4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наступление срока для пересмотра процесса.</w:t>
      </w:r>
    </w:p>
    <w:p>
      <w:pPr>
        <w:pStyle w:val="Normal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</w:r>
    </w:p>
    <w:p>
      <w:pPr>
        <w:pStyle w:val="ListParagraph"/>
        <w:numPr>
          <w:ilvl w:val="0"/>
          <w:numId w:val="2"/>
        </w:numPr>
        <w:ind w:hanging="0" w:left="0"/>
        <w:jc w:val="center"/>
        <w:rPr>
          <w:rFonts w:ascii="Times New Roman" w:hAnsi="Times New Roman" w:cs="Times New Roman"/>
          <w:b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kern w:val="0"/>
          <w:sz w:val="28"/>
          <w:szCs w:val="28"/>
        </w:rPr>
        <w:t>Проведение исследований в целях реинжиниринга процессов</w:t>
      </w:r>
    </w:p>
    <w:p>
      <w:pPr>
        <w:pStyle w:val="ListParagraph"/>
        <w:ind w:left="0"/>
        <w:rPr>
          <w:rFonts w:ascii="Times New Roman" w:hAnsi="Times New Roman" w:cs="Times New Roman"/>
          <w:b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kern w:val="0"/>
          <w:sz w:val="28"/>
          <w:szCs w:val="28"/>
        </w:rPr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При возникновении оснований для проведения реинжиниринга процессов ответственное лицо формирует профиль клиентского сегмента согласно приложению 1 к настоящему Порядку.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В случае если в течение 2 лет, предшествующих проведению исследования, процесс не осуществлялся, то профиль клиентского сегмента формируется на основании гипотез о потенциальном клиенте, в интересах которого осуществляется процесс.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Ответственное лицо в течение 5 рабочих дней после возникновения оснований для проведения реинжиниринга процесса формирует текстовое описание и блок-схему осуществления процесса на текущий момент согласно регламентирующим документам и актам органа Администрации, а также текстовое описание и блок-схему фактического осуществления процесса с указанием их различий.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При необходимости к формированию описания и блок-схемы фактического осуществления процесса могут привлекаться клиенты и исполнители по процессу.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В течение 10 рабочих дней после формирования профиля клиентского сегмента ответственным лицом проводится опрос клиентов и исполнителей об их опыте участия в процессе.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Опрос должен быть направлен на следующие критерии:</w:t>
      </w:r>
    </w:p>
    <w:p>
      <w:pPr>
        <w:pStyle w:val="ListParagraph"/>
        <w:numPr>
          <w:ilvl w:val="0"/>
          <w:numId w:val="6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оценку удовлетворенности процессом;</w:t>
      </w:r>
    </w:p>
    <w:p>
      <w:pPr>
        <w:pStyle w:val="ListParagraph"/>
        <w:numPr>
          <w:ilvl w:val="0"/>
          <w:numId w:val="6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выявление сложностей, с которыми столкнулись клиенты и исполнители в рамках осуществления процесса, с указанием этапа, на котором эти сложности были встречены и их критичности;</w:t>
      </w:r>
    </w:p>
    <w:p>
      <w:pPr>
        <w:pStyle w:val="ListParagraph"/>
        <w:numPr>
          <w:ilvl w:val="0"/>
          <w:numId w:val="6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формирование ожиданий клиентов от взаимодействия на каждом этапе осуществления процесса;</w:t>
      </w:r>
    </w:p>
    <w:p>
      <w:pPr>
        <w:pStyle w:val="ListParagraph"/>
        <w:numPr>
          <w:ilvl w:val="0"/>
          <w:numId w:val="6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формирование лучших практик осуществления процессов.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На основании информации, полученной в результате опроса, в течение 2 рабочих дней ответственное лицо формирует перечень сложностей, выявленных клиентами на каждом этапе осуществления процесса, с указанием их критичности, потребностей на каждом этапе взаимодействия, а также перечень лучших практик в рамках осуществления процесса.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В течение 12 рабочих дней после формирования профиля клиентского сегмента ответственное лицо проводит анализ процесса на соответствие принципам и стандартам клиентоцентричности.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В течение 1 рабочего дня после завершения опроса и анализа ответственное лицо направляет сформированные в ходе исследования документы на рассмотрение руководителю органа Администрации.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Руководитель органа Администрации в течение 7 рабочих дней рассматривает представленные документы и принимает одно из следующих решений:</w:t>
      </w:r>
    </w:p>
    <w:p>
      <w:pPr>
        <w:pStyle w:val="ListParagraph"/>
        <w:numPr>
          <w:ilvl w:val="0"/>
          <w:numId w:val="7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необходимость изменения процесса;</w:t>
      </w:r>
    </w:p>
    <w:p>
      <w:pPr>
        <w:pStyle w:val="ListParagraph"/>
        <w:numPr>
          <w:ilvl w:val="0"/>
          <w:numId w:val="7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отсутствие необходимости изменения процесса;</w:t>
      </w:r>
    </w:p>
    <w:p>
      <w:pPr>
        <w:pStyle w:val="ListParagraph"/>
        <w:numPr>
          <w:ilvl w:val="0"/>
          <w:numId w:val="7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необходимость исключения процесса.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В случае если руководителем органа Администрации было принято решение об отсутствии необходимости изменения процесса или о необходимости исключения процесса, то проведение реинжиниринга рассматриваемого процесса завершается.</w:t>
      </w:r>
    </w:p>
    <w:p>
      <w:pPr>
        <w:pStyle w:val="Normal"/>
        <w:tabs>
          <w:tab w:val="clear" w:pos="708"/>
          <w:tab w:val="left" w:pos="1521" w:leader="none"/>
        </w:tabs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</w:r>
    </w:p>
    <w:p>
      <w:pPr>
        <w:pStyle w:val="ListParagraph"/>
        <w:numPr>
          <w:ilvl w:val="0"/>
          <w:numId w:val="2"/>
        </w:numPr>
        <w:ind w:hanging="0" w:left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kern w:val="0"/>
          <w:sz w:val="28"/>
          <w:szCs w:val="28"/>
        </w:rPr>
        <w:t>Этап проектирования в целях реинжиниринга процессов</w:t>
      </w:r>
    </w:p>
    <w:p>
      <w:pPr>
        <w:pStyle w:val="ListParagraph"/>
        <w:ind w:left="0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  <w:highlight w:val="white"/>
        </w:rPr>
        <w:t>В случае, если руководителем органа Администрации было принято решение о необходимости изменения процесса, ответственное лицо разрабатывает:</w:t>
      </w:r>
    </w:p>
    <w:p>
      <w:pPr>
        <w:pStyle w:val="ListParagraph"/>
        <w:numPr>
          <w:ilvl w:val="0"/>
          <w:numId w:val="8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текстовое описание целевого порядка осуществления процесса с учетом целесообразности, наличия возможностей, стремления к решению наибольшего количества выявленных проблем и повышения эффективности процесса, в том числе с использованием наиболее эффективных решений, реализованных в других процессах (далее – целевая модель процесса);</w:t>
      </w:r>
    </w:p>
    <w:p>
      <w:pPr>
        <w:pStyle w:val="ListParagraph"/>
        <w:numPr>
          <w:ilvl w:val="0"/>
          <w:numId w:val="8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блок-схему целевой модели процесса (типовая блок-схема представлена в приложении 2 к настоящему Порядку);</w:t>
      </w:r>
    </w:p>
    <w:p>
      <w:pPr>
        <w:pStyle w:val="ListParagraph"/>
        <w:numPr>
          <w:ilvl w:val="0"/>
          <w:numId w:val="8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 xml:space="preserve">описание нормативных правовых барьеров, препятствующих реализации целевой модели процесса, с приложением нормативных правовых актов, в которые необходимо внести изменения; </w:t>
      </w:r>
    </w:p>
    <w:p>
      <w:pPr>
        <w:pStyle w:val="ListParagraph"/>
        <w:numPr>
          <w:ilvl w:val="0"/>
          <w:numId w:val="8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порядок взаимодействия с клиентом.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  <w:highlight w:val="white"/>
        </w:rPr>
        <w:t>После формирования документов согласно п. 3.1 настоящего Порядка ответственное лицо направляет их на рассмотрение руководителю органа Администрации.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  <w:highlight w:val="white"/>
        </w:rPr>
        <w:t>Руководитель органа Администрации в течение 7 рабочих дней рассматривает документы и принимает одно из решений:</w:t>
      </w:r>
    </w:p>
    <w:p>
      <w:pPr>
        <w:pStyle w:val="ListParagraph"/>
        <w:numPr>
          <w:ilvl w:val="0"/>
          <w:numId w:val="9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согласование целевой модели процесса;</w:t>
      </w:r>
    </w:p>
    <w:p>
      <w:pPr>
        <w:pStyle w:val="ListParagraph"/>
        <w:numPr>
          <w:ilvl w:val="0"/>
          <w:numId w:val="9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 xml:space="preserve">направление целевой модели процесса на доработку. 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  <w:highlight w:val="white"/>
        </w:rPr>
        <w:t>В случае, если руководитель органа Администрации согласовал целевую модель процесса, ответственное лицо в течение 7 рабочих дней формирует план мероприятий согласно приложению 3 к настоящему Порядку, с указанием названия мероприятия, сроков их выполнения, ответственных лиц, описания результатов и отчетных документов.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 xml:space="preserve">Руководитель органа Администрации </w:t>
      </w:r>
      <w:r>
        <w:rPr>
          <w:rFonts w:cs="Times New Roman" w:ascii="Times New Roman" w:hAnsi="Times New Roman"/>
          <w:color w:val="000000"/>
          <w:kern w:val="0"/>
          <w:sz w:val="28"/>
          <w:szCs w:val="28"/>
          <w:highlight w:val="white"/>
        </w:rPr>
        <w:t>рассматривает разработанный план мероприятий и принимает одно из следующих решений:</w:t>
      </w:r>
    </w:p>
    <w:p>
      <w:pPr>
        <w:pStyle w:val="ListParagraph"/>
        <w:numPr>
          <w:ilvl w:val="0"/>
          <w:numId w:val="10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утверждение плана мероприятий локальным нормативным правовым актом органа Администрации;</w:t>
      </w:r>
    </w:p>
    <w:p>
      <w:pPr>
        <w:pStyle w:val="ListParagraph"/>
        <w:numPr>
          <w:ilvl w:val="0"/>
          <w:numId w:val="10"/>
        </w:numPr>
        <w:ind w:firstLine="709" w:left="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направление плана мероприятий на доработку.</w:t>
      </w:r>
      <w:r>
        <w:br w:type="page"/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521" w:leader="none"/>
        </w:tabs>
        <w:spacing w:before="0" w:after="0"/>
        <w:contextualSpacing/>
        <w:jc w:val="center"/>
        <w:rPr>
          <w:rFonts w:ascii="Times New Roman" w:hAnsi="Times New Roman" w:cs="Times New Roman"/>
          <w:b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kern w:val="0"/>
          <w:sz w:val="28"/>
          <w:szCs w:val="28"/>
        </w:rPr>
        <w:t>Этап реализации</w:t>
      </w:r>
    </w:p>
    <w:p>
      <w:pPr>
        <w:pStyle w:val="ListParagraph"/>
        <w:tabs>
          <w:tab w:val="clear" w:pos="708"/>
          <w:tab w:val="left" w:pos="1521" w:leader="none"/>
        </w:tabs>
        <w:rPr>
          <w:rFonts w:ascii="Times New Roman" w:hAnsi="Times New Roman" w:cs="Times New Roman"/>
          <w:b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kern w:val="0"/>
          <w:sz w:val="28"/>
          <w:szCs w:val="28"/>
        </w:rPr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b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После утверждения</w:t>
      </w:r>
      <w:r>
        <w:rPr>
          <w:rFonts w:cs="Times New Roman" w:ascii="Times New Roman" w:hAnsi="Times New Roman"/>
          <w:b/>
          <w:color w:val="000000"/>
          <w:kern w:val="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плана мероприятий локальным нормативным правовым актом органа Администрации</w:t>
      </w:r>
      <w:r>
        <w:rPr>
          <w:rFonts w:cs="Times New Roman" w:ascii="Times New Roman" w:hAnsi="Times New Roman"/>
          <w:color w:val="000000"/>
          <w:kern w:val="0"/>
          <w:sz w:val="28"/>
          <w:szCs w:val="28"/>
          <w:highlight w:val="white"/>
        </w:rPr>
        <w:t xml:space="preserve"> ответственное лицо контролирует его выполнение. 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b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  <w:highlight w:val="white"/>
        </w:rPr>
        <w:t>После реализации плана мероприятий ответственное лицо готовит отчет и направляет его на рассмотрение руководителю органа Администрации.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b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  <w:highlight w:val="white"/>
        </w:rPr>
        <w:t>После рассмотрения отчета руководителем органа Администрации реинжиниринг процесса считается завершенным.</w:t>
      </w:r>
    </w:p>
    <w:p>
      <w:pPr>
        <w:pStyle w:val="ListParagraph"/>
        <w:numPr>
          <w:ilvl w:val="1"/>
          <w:numId w:val="2"/>
        </w:numPr>
        <w:ind w:firstLine="709" w:left="0"/>
        <w:jc w:val="both"/>
        <w:rPr>
          <w:rFonts w:ascii="Times New Roman" w:hAnsi="Times New Roman" w:cs="Times New Roman"/>
          <w:b/>
          <w:color w:val="000000"/>
          <w:kern w:val="0"/>
          <w:sz w:val="28"/>
          <w:szCs w:val="28"/>
        </w:rPr>
      </w:pPr>
      <w:r>
        <w:rPr>
          <w:rFonts w:cs="Times New Roman" w:ascii="Times New Roman" w:hAnsi="Times New Roman"/>
          <w:color w:val="000000"/>
          <w:kern w:val="0"/>
          <w:sz w:val="28"/>
          <w:szCs w:val="28"/>
        </w:rPr>
        <w:t>Сведения о проведенном реинжиниринге процесса вносятся в реестр межведомственных и внутриведомственных процессов, утвержденный локальным нормативным правовым актом органа Администрации.</w:t>
      </w:r>
    </w:p>
    <w:p>
      <w:pPr>
        <w:pStyle w:val="ListParagraph"/>
        <w:ind w:left="0"/>
        <w:rPr>
          <w:rFonts w:ascii="Times New Roman" w:hAnsi="Times New Roman"/>
          <w:color w:val="000000"/>
          <w:kern w:val="0"/>
          <w:sz w:val="28"/>
          <w:szCs w:val="20"/>
        </w:rPr>
      </w:pPr>
      <w:r>
        <w:rPr>
          <w:rFonts w:ascii="Times New Roman" w:hAnsi="Times New Roman"/>
          <w:color w:val="000000"/>
          <w:kern w:val="0"/>
          <w:sz w:val="28"/>
          <w:szCs w:val="20"/>
        </w:rPr>
      </w:r>
      <w:r>
        <w:br w:type="page"/>
      </w:r>
    </w:p>
    <w:p>
      <w:pPr>
        <w:pStyle w:val="ListParagraph"/>
        <w:spacing w:before="0" w:after="0"/>
        <w:ind w:left="5954"/>
        <w:contextualSpacing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  <w:t>Приложение 1 к Порядку</w:t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  <w:t>проведения реинжиниринга межведомственных и внутриведомственных процессов</w:t>
      </w:r>
    </w:p>
    <w:p>
      <w:pPr>
        <w:pStyle w:val="Normal"/>
        <w:suppressAutoHyphens w:val="false"/>
        <w:spacing w:lineRule="auto" w:line="276"/>
        <w:jc w:val="center"/>
        <w:rPr>
          <w:rFonts w:ascii="Times New Roman" w:hAnsi="Times New Roman" w:eastAsia="Times New Roman" w:cs="Times New Roman"/>
          <w:b/>
          <w:kern w:val="0"/>
          <w:sz w:val="28"/>
          <w:szCs w:val="28"/>
          <w:lang w:eastAsia="ru-RU" w:bidi="ar-SA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:lang w:eastAsia="ru-RU" w:bidi="ar-SA"/>
        </w:rPr>
      </w:r>
    </w:p>
    <w:p>
      <w:pPr>
        <w:pStyle w:val="Normal"/>
        <w:suppressAutoHyphens w:val="false"/>
        <w:spacing w:lineRule="auto" w:line="276"/>
        <w:jc w:val="center"/>
        <w:rPr>
          <w:rFonts w:ascii="Times New Roman" w:hAnsi="Times New Roman"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:lang w:eastAsia="ru-RU" w:bidi="ar-SA"/>
        </w:rPr>
        <w:t>Типовая форма</w:t>
      </w:r>
    </w:p>
    <w:p>
      <w:pPr>
        <w:pStyle w:val="Normal"/>
        <w:suppressAutoHyphens w:val="false"/>
        <w:spacing w:lineRule="auto" w:line="276"/>
        <w:jc w:val="center"/>
        <w:rPr>
          <w:rFonts w:ascii="Times New Roman" w:hAnsi="Times New Roman"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:lang w:eastAsia="ru-RU" w:bidi="ar-SA"/>
        </w:rPr>
        <w:t>профиля клиентского сегмента в рамках процесса</w:t>
      </w:r>
    </w:p>
    <w:p>
      <w:pPr>
        <w:pStyle w:val="Normal"/>
        <w:suppressAutoHyphens w:val="false"/>
        <w:spacing w:lineRule="auto" w:line="276"/>
        <w:rPr>
          <w:rFonts w:ascii="Times New Roman" w:hAnsi="Times New Roman"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:lang w:eastAsia="ru-RU" w:bidi="ar-SA"/>
        </w:rPr>
      </w:r>
    </w:p>
    <w:tbl>
      <w:tblPr>
        <w:tblStyle w:val="a4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802"/>
        <w:gridCol w:w="6768"/>
      </w:tblGrid>
      <w:tr>
        <w:trPr/>
        <w:tc>
          <w:tcPr>
            <w:tcW w:w="9570" w:type="dxa"/>
            <w:gridSpan w:val="2"/>
            <w:tcBorders/>
          </w:tcPr>
          <w:p>
            <w:pPr>
              <w:pStyle w:val="Normal"/>
              <w:widowControl/>
              <w:suppressAutoHyphens w:val="false"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kern w:val="0"/>
                <w:vertAlign w:val="superscript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Основные признаки</w:t>
            </w:r>
            <w:r>
              <w:rPr>
                <w:rFonts w:eastAsia="Times New Roman" w:cs="Times New Roman" w:ascii="Times New Roman" w:hAnsi="Times New Roman"/>
                <w:kern w:val="0"/>
                <w:vertAlign w:val="superscript"/>
                <w:lang w:val="ru-RU" w:eastAsia="ru-RU" w:bidi="ar-SA"/>
              </w:rPr>
              <w:t>1</w:t>
            </w:r>
          </w:p>
        </w:tc>
      </w:tr>
      <w:tr>
        <w:trPr/>
        <w:tc>
          <w:tcPr>
            <w:tcW w:w="9570" w:type="dxa"/>
            <w:gridSpan w:val="2"/>
            <w:tcBorders/>
          </w:tcPr>
          <w:p>
            <w:pPr>
              <w:pStyle w:val="Normal"/>
              <w:widowControl/>
              <w:suppressAutoHyphens w:val="false"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</w:tr>
      <w:tr>
        <w:trPr/>
        <w:tc>
          <w:tcPr>
            <w:tcW w:w="9570" w:type="dxa"/>
            <w:gridSpan w:val="2"/>
            <w:tcBorders/>
          </w:tcPr>
          <w:p>
            <w:pPr>
              <w:pStyle w:val="Normal"/>
              <w:widowControl/>
              <w:suppressAutoHyphens w:val="false"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kern w:val="0"/>
                <w:vertAlign w:val="superscript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Особенности клиентского пути</w:t>
            </w:r>
            <w:r>
              <w:rPr>
                <w:rFonts w:eastAsia="Times New Roman" w:cs="Times New Roman" w:ascii="Times New Roman" w:hAnsi="Times New Roman"/>
                <w:kern w:val="0"/>
                <w:vertAlign w:val="superscript"/>
                <w:lang w:val="ru-RU" w:eastAsia="ru-RU" w:bidi="ar-SA"/>
              </w:rPr>
              <w:t>2</w:t>
            </w:r>
          </w:p>
        </w:tc>
      </w:tr>
      <w:tr>
        <w:trPr/>
        <w:tc>
          <w:tcPr>
            <w:tcW w:w="9570" w:type="dxa"/>
            <w:gridSpan w:val="2"/>
            <w:tcBorders/>
          </w:tcPr>
          <w:p>
            <w:pPr>
              <w:pStyle w:val="Normal"/>
              <w:widowControl/>
              <w:suppressAutoHyphens w:val="false"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</w:tr>
      <w:tr>
        <w:trPr/>
        <w:tc>
          <w:tcPr>
            <w:tcW w:w="9570" w:type="dxa"/>
            <w:gridSpan w:val="2"/>
            <w:tcBorders/>
          </w:tcPr>
          <w:p>
            <w:pPr>
              <w:pStyle w:val="Normal"/>
              <w:widowControl/>
              <w:suppressAutoHyphens w:val="false"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kern w:val="0"/>
                <w:vertAlign w:val="superscript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Формирование гипотез о потенциальном клиенте (в случае необходимости)</w:t>
            </w:r>
            <w:r>
              <w:rPr>
                <w:rFonts w:eastAsia="Times New Roman" w:cs="Times New Roman" w:ascii="Times New Roman" w:hAnsi="Times New Roman"/>
                <w:kern w:val="0"/>
                <w:vertAlign w:val="superscript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9570" w:type="dxa"/>
            <w:gridSpan w:val="2"/>
            <w:tcBorders/>
          </w:tcPr>
          <w:p>
            <w:pPr>
              <w:pStyle w:val="Normal"/>
              <w:widowControl/>
              <w:suppressAutoHyphens w:val="false"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</w:tr>
      <w:tr>
        <w:trPr/>
        <w:tc>
          <w:tcPr>
            <w:tcW w:w="9570" w:type="dxa"/>
            <w:gridSpan w:val="2"/>
            <w:tcBorders/>
          </w:tcPr>
          <w:p>
            <w:pPr>
              <w:pStyle w:val="Normal"/>
              <w:widowControl/>
              <w:tabs>
                <w:tab w:val="clear" w:pos="708"/>
                <w:tab w:val="left" w:pos="3064" w:leader="none"/>
              </w:tabs>
              <w:suppressAutoHyphens w:val="false"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Корректировка профиля клиента, его потребностей (в случае необходимости)</w:t>
            </w:r>
          </w:p>
        </w:tc>
      </w:tr>
      <w:tr>
        <w:trPr/>
        <w:tc>
          <w:tcPr>
            <w:tcW w:w="9570" w:type="dxa"/>
            <w:gridSpan w:val="2"/>
            <w:tcBorders/>
          </w:tcPr>
          <w:p>
            <w:pPr>
              <w:pStyle w:val="Normal"/>
              <w:widowControl/>
              <w:tabs>
                <w:tab w:val="clear" w:pos="708"/>
                <w:tab w:val="left" w:pos="3064" w:leader="none"/>
              </w:tabs>
              <w:suppressAutoHyphens w:val="false"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</w:tr>
      <w:tr>
        <w:trPr/>
        <w:tc>
          <w:tcPr>
            <w:tcW w:w="9570" w:type="dxa"/>
            <w:gridSpan w:val="2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3064" w:leader="none"/>
              </w:tabs>
              <w:suppressAutoHyphens w:val="false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Предпочтительные каналы взаимодействия</w:t>
            </w:r>
          </w:p>
        </w:tc>
      </w:tr>
      <w:tr>
        <w:trPr/>
        <w:tc>
          <w:tcPr>
            <w:tcW w:w="280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064" w:leader="none"/>
              </w:tabs>
              <w:suppressAutoHyphens w:val="false"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Информирование:</w:t>
            </w:r>
          </w:p>
        </w:tc>
        <w:tc>
          <w:tcPr>
            <w:tcW w:w="676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064" w:leader="none"/>
              </w:tabs>
              <w:suppressAutoHyphens w:val="false"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i/>
                <w:color w:themeColor="background1" w:themeShade="a6" w:val="A6A6A6"/>
                <w:kern w:val="0"/>
                <w:lang w:val="ru-RU" w:eastAsia="ru-RU" w:bidi="ar-SA"/>
              </w:rPr>
              <w:t>Сайты, порталы ...</w:t>
            </w:r>
          </w:p>
        </w:tc>
      </w:tr>
      <w:tr>
        <w:trPr/>
        <w:tc>
          <w:tcPr>
            <w:tcW w:w="280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064" w:leader="none"/>
              </w:tabs>
              <w:suppressAutoHyphens w:val="false"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Получение услуги:</w:t>
            </w:r>
          </w:p>
        </w:tc>
        <w:tc>
          <w:tcPr>
            <w:tcW w:w="676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064" w:leader="none"/>
              </w:tabs>
              <w:suppressAutoHyphens w:val="false"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i/>
                <w:color w:themeColor="background1" w:themeShade="a6" w:val="A6A6A6"/>
                <w:kern w:val="0"/>
                <w:lang w:val="ru-RU" w:eastAsia="ru-RU" w:bidi="ar-SA"/>
              </w:rPr>
              <w:t>Личный визит, ...</w:t>
            </w:r>
          </w:p>
        </w:tc>
      </w:tr>
    </w:tbl>
    <w:p>
      <w:pPr>
        <w:pStyle w:val="Normal"/>
        <w:suppressAutoHyphens w:val="false"/>
        <w:spacing w:lineRule="auto" w:line="276"/>
        <w:rPr>
          <w:rFonts w:ascii="Times New Roman" w:hAnsi="Times New Roman"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:lang w:eastAsia="ru-RU" w:bidi="ar-SA"/>
        </w:rPr>
      </w:r>
    </w:p>
    <w:p>
      <w:pPr>
        <w:pStyle w:val="Normal"/>
        <w:ind w:firstLine="709"/>
        <w:jc w:val="both"/>
        <w:rPr>
          <w:rFonts w:ascii="Times New Roman" w:hAnsi="Times New Roman"/>
          <w:color w:val="000000"/>
          <w:spacing w:val="-8"/>
          <w:kern w:val="0"/>
          <w:sz w:val="2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0"/>
          <w:szCs w:val="20"/>
          <w:vertAlign w:val="superscript"/>
        </w:rPr>
        <w:t>1</w:t>
      </w:r>
      <w:r>
        <w:rPr>
          <w:rFonts w:ascii="Times New Roman" w:hAnsi="Times New Roman"/>
          <w:color w:val="000000"/>
          <w:spacing w:val="-8"/>
          <w:kern w:val="0"/>
          <w:sz w:val="20"/>
          <w:szCs w:val="20"/>
        </w:rPr>
        <w:t xml:space="preserve"> для внешнего клиента – организационно-правовая форма, вид деятельности, доступность запрашиваемой информации, вид запроса, вид предоставляемой информации, возраст, уровень цифровой грамотности, категория обратившегося;</w:t>
      </w:r>
    </w:p>
    <w:p>
      <w:pPr>
        <w:pStyle w:val="Normal"/>
        <w:ind w:firstLine="709"/>
        <w:jc w:val="both"/>
        <w:rPr>
          <w:rFonts w:ascii="Times New Roman" w:hAnsi="Times New Roman"/>
          <w:color w:val="000000"/>
          <w:spacing w:val="-8"/>
          <w:kern w:val="0"/>
          <w:sz w:val="2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0"/>
          <w:szCs w:val="20"/>
        </w:rPr>
        <w:t>для внутреннего клиента – вид службы, категория и группа должностей, график работы, стаж работы;</w:t>
      </w:r>
    </w:p>
    <w:p>
      <w:pPr>
        <w:pStyle w:val="Normal"/>
        <w:ind w:firstLine="709"/>
        <w:jc w:val="both"/>
        <w:rPr>
          <w:rFonts w:ascii="Times New Roman" w:hAnsi="Times New Roman"/>
          <w:color w:val="000000"/>
          <w:spacing w:val="-8"/>
          <w:kern w:val="0"/>
          <w:sz w:val="2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0"/>
          <w:szCs w:val="20"/>
          <w:vertAlign w:val="superscript"/>
        </w:rPr>
        <w:t>2</w:t>
      </w:r>
      <w:r>
        <w:rPr>
          <w:rFonts w:ascii="Times New Roman" w:hAnsi="Times New Roman"/>
          <w:color w:val="000000"/>
          <w:spacing w:val="-8"/>
          <w:kern w:val="0"/>
          <w:sz w:val="20"/>
          <w:szCs w:val="20"/>
        </w:rPr>
        <w:t>последовательность действий клиента, которые он осуществляет от момента возникновения потребностей до момента их удовлетворения;</w:t>
      </w:r>
    </w:p>
    <w:p>
      <w:pPr>
        <w:pStyle w:val="Normal"/>
        <w:ind w:firstLine="709"/>
        <w:jc w:val="both"/>
        <w:rPr>
          <w:rFonts w:ascii="Times New Roman" w:hAnsi="Times New Roman"/>
          <w:color w:val="000000"/>
          <w:spacing w:val="-8"/>
          <w:kern w:val="0"/>
          <w:sz w:val="2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0"/>
          <w:szCs w:val="20"/>
          <w:vertAlign w:val="superscript"/>
        </w:rPr>
        <w:t>3</w:t>
      </w:r>
      <w:r>
        <w:rPr>
          <w:rFonts w:ascii="Times New Roman" w:hAnsi="Times New Roman"/>
          <w:color w:val="000000"/>
          <w:spacing w:val="-8"/>
          <w:kern w:val="0"/>
          <w:sz w:val="20"/>
          <w:szCs w:val="20"/>
        </w:rPr>
        <w:t>профиль клиентского сегмента, полученный на основании результатов исследований, методов социологических опросов и иных методов, в том числе анкетирования, голосования, фокус-группы и других способов изучения клиентского опыта.</w:t>
      </w:r>
    </w:p>
    <w:p>
      <w:pPr>
        <w:pStyle w:val="Normal"/>
        <w:jc w:val="both"/>
        <w:rPr>
          <w:rFonts w:ascii="Times New Roman" w:hAnsi="Times New Roman"/>
          <w:color w:val="000000"/>
          <w:spacing w:val="-8"/>
          <w:kern w:val="0"/>
          <w:sz w:val="28"/>
          <w:szCs w:val="28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color w:val="000000"/>
          <w:spacing w:val="-8"/>
          <w:kern w:val="0"/>
          <w:sz w:val="28"/>
          <w:szCs w:val="28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color w:val="000000"/>
          <w:spacing w:val="-8"/>
          <w:kern w:val="0"/>
          <w:sz w:val="28"/>
          <w:szCs w:val="28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color w:val="000000"/>
          <w:spacing w:val="-8"/>
          <w:kern w:val="0"/>
          <w:sz w:val="28"/>
          <w:szCs w:val="28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color w:val="000000"/>
          <w:spacing w:val="-8"/>
          <w:kern w:val="0"/>
          <w:sz w:val="28"/>
          <w:szCs w:val="28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8"/>
        </w:rPr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  <w:r>
        <w:br w:type="page"/>
      </w:r>
    </w:p>
    <w:p>
      <w:pPr>
        <w:pStyle w:val="ListParagraph"/>
        <w:spacing w:before="0" w:after="0"/>
        <w:ind w:left="5954"/>
        <w:contextualSpacing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  <w:t>Приложение 2 к Порядку</w:t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  <w:t>проведения реинжиниринга межведомственных и внутриведомственных процессов</w:t>
      </w:r>
    </w:p>
    <w:p>
      <w:pPr>
        <w:pStyle w:val="Normal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Normal"/>
        <w:jc w:val="center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  <w:t>Типовая блок-схема</w:t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  <mc:AlternateContent>
          <mc:Choice Requires="wps">
            <w:drawing>
              <wp:anchor behindDoc="0" distT="5080" distB="5715" distL="5715" distR="5080" simplePos="0" locked="0" layoutInCell="1" allowOverlap="1" relativeHeight="2" wp14:anchorId="26B182E7">
                <wp:simplePos x="0" y="0"/>
                <wp:positionH relativeFrom="column">
                  <wp:posOffset>2268855</wp:posOffset>
                </wp:positionH>
                <wp:positionV relativeFrom="paragraph">
                  <wp:posOffset>165735</wp:posOffset>
                </wp:positionV>
                <wp:extent cx="1541145" cy="605790"/>
                <wp:effectExtent l="5715" t="5080" r="5080" b="5715"/>
                <wp:wrapNone/>
                <wp:docPr id="1" name="Овал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160" cy="605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7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Начало процесса</w:t>
                            </w:r>
                          </w:p>
                        </w:txbxContent>
                      </wps:txbx>
                      <wps:bodyPr anchor="ctr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shape_0" ID="Овал 2" path="l-2147483648,-2147483643l-2147483628,-2147483627l-2147483648,-2147483643l-2147483626,-2147483625xe" fillcolor="white" stroked="t" o:allowincell="f" style="position:absolute;margin-left:178.65pt;margin-top:13.05pt;width:121.3pt;height:47.65pt;mso-wrap-style:square;v-text-anchor:middle" wp14:anchorId="26B182E7"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Style17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Начало процесса</w:t>
                      </w:r>
                    </w:p>
                  </w:txbxContent>
                </v:textbox>
                <w10:wrap type="none"/>
              </v:oval>
            </w:pict>
          </mc:Fallback>
        </mc:AlternateContent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  <mc:AlternateContent>
          <mc:Choice Requires="wps">
            <w:drawing>
              <wp:anchor behindDoc="0" distT="5715" distB="0" distL="44450" distR="43815" simplePos="0" locked="0" layoutInCell="1" allowOverlap="1" relativeHeight="12">
                <wp:simplePos x="0" y="0"/>
                <wp:positionH relativeFrom="column">
                  <wp:posOffset>3045460</wp:posOffset>
                </wp:positionH>
                <wp:positionV relativeFrom="paragraph">
                  <wp:posOffset>158750</wp:posOffset>
                </wp:positionV>
                <wp:extent cx="635" cy="202565"/>
                <wp:effectExtent l="44450" t="5715" r="43815" b="0"/>
                <wp:wrapNone/>
                <wp:docPr id="2" name="Прямая со стрелкой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20268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ID="Прямая со стрелкой 9" path="m0,0l-2147483648,-2147483647e" stroked="t" o:allowincell="f" style="position:absolute;margin-left:239.8pt;margin-top:12.5pt;width:0pt;height:15.9pt;mso-wrap-style:none;v-text-anchor:middle" type="_x0000_t32">
                <v:fill o:detectmouseclick="t" on="false"/>
                <v:stroke color="black" weight="9360" endarrow="open" endarrowwidth="medium" endarrowlength="medium" joinstyle="round" endcap="flat"/>
                <w10:wrap type="none"/>
              </v:shape>
            </w:pict>
          </mc:Fallback>
        </mc:AlternateContent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  <mc:AlternateContent>
          <mc:Choice Requires="wps">
            <w:drawing>
              <wp:anchor behindDoc="0" distT="5080" distB="0" distL="5715" distR="5080" simplePos="0" locked="0" layoutInCell="1" allowOverlap="1" relativeHeight="4" wp14:anchorId="0542D758">
                <wp:simplePos x="0" y="0"/>
                <wp:positionH relativeFrom="column">
                  <wp:posOffset>2161540</wp:posOffset>
                </wp:positionH>
                <wp:positionV relativeFrom="paragraph">
                  <wp:posOffset>155575</wp:posOffset>
                </wp:positionV>
                <wp:extent cx="1743075" cy="744220"/>
                <wp:effectExtent l="5715" t="5080" r="5080" b="0"/>
                <wp:wrapNone/>
                <wp:docPr id="3" name="Блок-схема: документ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120" cy="74412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7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Данные о ходе процесса</w:t>
                            </w:r>
                          </w:p>
                        </w:txbxContent>
                      </wps:txbx>
                      <wps:bodyPr anchor="ctr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4" coordsize="21600,21600" o:spt="114" path="m,l21600,l21600,17322c10800,17322,10800,23922,,20172xe">
                <v:stroke joinstyle="miter"/>
                <v:formulas>
                  <v:f eqn="val 17322"/>
                  <v:f eqn="val 20172"/>
                </v:formulas>
                <v:path gradientshapeok="t" o:connecttype="rect" textboxrect="0,0,21600,@0"/>
              </v:shapetype>
              <v:shape id="shape_0" ID="Блок-схема: документ 3" path="m0,0l21600,0l21600,17322c10800,17322,10800,23922,0,20172xe" fillcolor="white" stroked="t" o:allowincell="f" style="position:absolute;margin-left:170.2pt;margin-top:12.25pt;width:137.2pt;height:58.55pt;mso-wrap-style:square;v-text-anchor:middle" wp14:anchorId="0542D758" type="_x0000_t114"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Style17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Данные о ходе процесса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  <mc:AlternateContent>
          <mc:Choice Requires="wps">
            <w:drawing>
              <wp:anchor behindDoc="0" distT="5715" distB="0" distL="44450" distR="43815" simplePos="0" locked="0" layoutInCell="1" allowOverlap="1" relativeHeight="13" wp14:anchorId="5B2802F4">
                <wp:simplePos x="0" y="0"/>
                <wp:positionH relativeFrom="column">
                  <wp:posOffset>3045460</wp:posOffset>
                </wp:positionH>
                <wp:positionV relativeFrom="paragraph">
                  <wp:posOffset>19050</wp:posOffset>
                </wp:positionV>
                <wp:extent cx="635" cy="307975"/>
                <wp:effectExtent l="44450" t="5715" r="43815" b="0"/>
                <wp:wrapNone/>
                <wp:docPr id="4" name="Прямая со стрелкой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30780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10" path="m0,0l-2147483648,-2147483647e" stroked="t" o:allowincell="f" style="position:absolute;margin-left:239.8pt;margin-top:1.5pt;width:0pt;height:24.2pt;mso-wrap-style:none;v-text-anchor:middle" wp14:anchorId="5B2802F4" type="_x0000_t32">
                <v:fill o:detectmouseclick="t" on="false"/>
                <v:stroke color="black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23" wp14:anchorId="07CF95AC">
                <wp:simplePos x="0" y="0"/>
                <wp:positionH relativeFrom="column">
                  <wp:posOffset>323850</wp:posOffset>
                </wp:positionH>
                <wp:positionV relativeFrom="paragraph">
                  <wp:posOffset>154305</wp:posOffset>
                </wp:positionV>
                <wp:extent cx="1945640" cy="509905"/>
                <wp:effectExtent l="0" t="0" r="0" b="0"/>
                <wp:wrapNone/>
                <wp:docPr id="5" name="Прямоугольник 2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5800" cy="509760"/>
                        </a:xfrm>
                        <a:prstGeom prst="rect">
                          <a:avLst/>
                        </a:prstGeom>
                        <a:noFill/>
                        <a:ln w="2540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7"/>
                              <w:jc w:val="center"/>
                              <w:rPr>
                                <w:i/>
                                <w:i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Вариант 1</w:t>
                            </w:r>
                          </w:p>
                          <w:p>
                            <w:pPr>
                              <w:pStyle w:val="Style17"/>
                              <w:jc w:val="center"/>
                              <w:rPr>
                                <w:i/>
                                <w:i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(выявлены проблемы)</w:t>
                            </w:r>
                          </w:p>
                        </w:txbxContent>
                      </wps:txbx>
                      <wps:bodyPr anchor="ctr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28" path="m0,0l-2147483645,0l-2147483645,-2147483646l0,-2147483646xe" stroked="f" o:allowincell="f" style="position:absolute;margin-left:25.5pt;margin-top:12.15pt;width:153.15pt;height:40.1pt;mso-wrap-style:square;v-text-anchor:middle" wp14:anchorId="07CF95AC">
                <v:fill o:detectmouseclick="t" on="false"/>
                <v:stroke color="#3465a4" weight="25560" joinstyle="round" endcap="flat"/>
                <v:textbox>
                  <w:txbxContent>
                    <w:p>
                      <w:pPr>
                        <w:pStyle w:val="Style17"/>
                        <w:jc w:val="center"/>
                        <w:rPr>
                          <w:i/>
                          <w:i/>
                        </w:rPr>
                      </w:pPr>
                      <w:r>
                        <w:rPr>
                          <w:i/>
                          <w:color w:val="000000"/>
                        </w:rPr>
                        <w:t>Вариант 1</w:t>
                      </w:r>
                    </w:p>
                    <w:p>
                      <w:pPr>
                        <w:pStyle w:val="Style17"/>
                        <w:jc w:val="center"/>
                        <w:rPr>
                          <w:i/>
                          <w:i/>
                        </w:rPr>
                      </w:pPr>
                      <w:r>
                        <w:rPr>
                          <w:i/>
                          <w:color w:val="000000"/>
                        </w:rPr>
                        <w:t>(выявлены проблемы)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  <mc:AlternateContent>
          <mc:Choice Requires="wps">
            <w:drawing>
              <wp:anchor behindDoc="0" distT="5715" distB="5080" distL="5715" distR="5080" simplePos="0" locked="0" layoutInCell="1" allowOverlap="1" relativeHeight="6" wp14:anchorId="13B77E40">
                <wp:simplePos x="0" y="0"/>
                <wp:positionH relativeFrom="column">
                  <wp:posOffset>1811655</wp:posOffset>
                </wp:positionH>
                <wp:positionV relativeFrom="paragraph">
                  <wp:posOffset>121920</wp:posOffset>
                </wp:positionV>
                <wp:extent cx="2466975" cy="691515"/>
                <wp:effectExtent l="5715" t="5715" r="5080" b="5080"/>
                <wp:wrapNone/>
                <wp:docPr id="6" name="Ромб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7080" cy="69156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7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Анализ данных</w:t>
                            </w:r>
                          </w:p>
                        </w:txbxContent>
                      </wps:txbx>
                      <wps:bodyPr anchor="ctr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" coordsize="21600,21600" o:spt="4" path="m,10800l10800,l21600,10800l10800,21600xe">
                <v:stroke joinstyle="miter"/>
                <v:formulas>
                  <v:f eqn="prod width 3 4"/>
                  <v:f eqn="prod height 3 4"/>
                </v:formulas>
                <v:path gradientshapeok="t" o:connecttype="rect" textboxrect="5400,5400,@0,@1"/>
              </v:shapetype>
              <v:shape id="shape_0" ID="Ромб 4" path="l-2147483644,0l-2147483641,-2147483643l-2147483644,-2147483642xe" fillcolor="white" stroked="t" o:allowincell="f" style="position:absolute;margin-left:142.65pt;margin-top:9.6pt;width:194.2pt;height:54.4pt;mso-wrap-style:square;v-text-anchor:middle" wp14:anchorId="13B77E40" type="_x0000_t4"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Style17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Анализ данных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  <mc:AlternateContent>
          <mc:Choice Requires="wps">
            <w:drawing>
              <wp:anchor behindDoc="0" distT="5715" distB="0" distL="45085" distR="5080" simplePos="0" locked="0" layoutInCell="1" allowOverlap="1" relativeHeight="22">
                <wp:simplePos x="0" y="0"/>
                <wp:positionH relativeFrom="column">
                  <wp:posOffset>664845</wp:posOffset>
                </wp:positionH>
                <wp:positionV relativeFrom="paragraph">
                  <wp:posOffset>53975</wp:posOffset>
                </wp:positionV>
                <wp:extent cx="1147445" cy="701675"/>
                <wp:effectExtent l="45085" t="5715" r="5080" b="0"/>
                <wp:wrapNone/>
                <wp:docPr id="7" name="Соединительная линия уступом 2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 rot="10800000">
                          <a:off x="0" y="0"/>
                          <a:ext cx="1147320" cy="701640"/>
                        </a:xfrm>
                        <a:prstGeom prst="bentConnector3">
                          <a:avLst>
                            <a:gd name="adj1" fmla="val 100007"/>
                          </a:avLst>
                        </a:prstGeom>
                        <a:noFill/>
                        <a:ln>
                          <a:solidFill>
                            <a:srgbClr val="000000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adj="10800" path="m,l@0,l@0,21600l21600,21600nfe">
                <v:stroke joinstyle="miter"/>
                <v:formulas>
                  <v:f eqn="val #0"/>
                </v:formulas>
                <v:path gradientshapeok="t" o:connecttype="rect" textboxrect="0,0,21600,21600"/>
                <v:handles>
                  <v:h position="@0,10800"/>
                </v:handles>
              </v:shapetype>
              <v:shape id="shape_0" ID="Соединительная линия уступом 27" path="m0,0l-2147483647,0l-2147483647,-2147483644l-2147483645,-2147483644e" stroked="t" o:allowincell="f" style="position:absolute;margin-left:52.35pt;margin-top:4.25pt;width:90.3pt;height:55.2pt;flip:y;mso-wrap-style:none;v-text-anchor:middle;rotation:180" type="_x0000_t34">
                <v:fill o:detectmouseclick="t" on="false"/>
                <v:stroke color="black" weight="9360" endarrow="open" endarrowwidth="medium" endarrowlength="medium" joinstyle="round" endcap="flat"/>
                <w10:wrap type="none"/>
              </v:shape>
            </w:pict>
          </mc:Fallback>
        </mc:AlternateContent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  <mc:AlternateContent>
          <mc:Choice Requires="wps">
            <w:drawing>
              <wp:anchor behindDoc="0" distT="5080" distB="635" distL="43815" distR="44450" simplePos="0" locked="0" layoutInCell="1" allowOverlap="1" relativeHeight="19" wp14:anchorId="29508C20">
                <wp:simplePos x="0" y="0"/>
                <wp:positionH relativeFrom="column">
                  <wp:posOffset>3045460</wp:posOffset>
                </wp:positionH>
                <wp:positionV relativeFrom="paragraph">
                  <wp:posOffset>198755</wp:posOffset>
                </wp:positionV>
                <wp:extent cx="635" cy="1371600"/>
                <wp:effectExtent l="43815" t="5080" r="44450" b="635"/>
                <wp:wrapNone/>
                <wp:docPr id="8" name="Прямая со стрелкой 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137160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25" path="m0,0l-2147483648,-2147483647e" stroked="t" o:allowincell="f" style="position:absolute;margin-left:239.8pt;margin-top:15.65pt;width:0pt;height:107.95pt;mso-wrap-style:none;v-text-anchor:middle" wp14:anchorId="29508C20" type="_x0000_t32">
                <v:fill o:detectmouseclick="t" on="false"/>
                <v:stroke color="black" weight="9360" endarrow="open" endarrowwidth="medium" endarrowlength="medium" joinstyle="round" endcap="flat"/>
                <w10:wrap type="none"/>
              </v:shape>
            </w:pict>
          </mc:Fallback>
        </mc:AlternateContent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  <mc:AlternateContent>
          <mc:Choice Requires="wps">
            <w:drawing>
              <wp:anchor behindDoc="0" distT="5080" distB="5080" distL="5715" distR="4445" simplePos="0" locked="0" layoutInCell="1" allowOverlap="1" relativeHeight="14" wp14:anchorId="5685564E">
                <wp:simplePos x="0" y="0"/>
                <wp:positionH relativeFrom="column">
                  <wp:posOffset>-218440</wp:posOffset>
                </wp:positionH>
                <wp:positionV relativeFrom="paragraph">
                  <wp:posOffset>150495</wp:posOffset>
                </wp:positionV>
                <wp:extent cx="1786255" cy="605790"/>
                <wp:effectExtent l="5715" t="5080" r="4445" b="5080"/>
                <wp:wrapNone/>
                <wp:docPr id="9" name="Прямоугольник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6320" cy="605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7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Описание выявленных проблем</w:t>
                            </w:r>
                          </w:p>
                        </w:txbxContent>
                      </wps:txbx>
                      <wps:bodyPr anchor="ctr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16" path="m0,0l-2147483645,0l-2147483645,-2147483646l0,-2147483646xe" fillcolor="white" stroked="t" o:allowincell="f" style="position:absolute;margin-left:-17.2pt;margin-top:11.85pt;width:140.6pt;height:47.65pt;mso-wrap-style:square;v-text-anchor:middle" wp14:anchorId="5685564E"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Style17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Описание выявленных проблем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  <mc:AlternateContent>
          <mc:Choice Requires="wps">
            <w:drawing>
              <wp:anchor behindDoc="0" distT="0" distB="0" distL="0" distR="0" simplePos="0" locked="0" layoutInCell="1" allowOverlap="1" relativeHeight="20" wp14:anchorId="605C3363">
                <wp:simplePos x="0" y="0"/>
                <wp:positionH relativeFrom="column">
                  <wp:posOffset>3023235</wp:posOffset>
                </wp:positionH>
                <wp:positionV relativeFrom="paragraph">
                  <wp:posOffset>43180</wp:posOffset>
                </wp:positionV>
                <wp:extent cx="2583180" cy="509905"/>
                <wp:effectExtent l="0" t="0" r="0" b="0"/>
                <wp:wrapNone/>
                <wp:docPr id="10" name="Прямоугольник 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3360" cy="509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7"/>
                              <w:rPr>
                                <w:i/>
                                <w:i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 xml:space="preserve">Вариант 2 </w:t>
                            </w:r>
                          </w:p>
                          <w:p>
                            <w:pPr>
                              <w:pStyle w:val="Style17"/>
                              <w:rPr>
                                <w:i/>
                                <w:i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(отсутствие выявленных проблем)</w:t>
                            </w:r>
                          </w:p>
                        </w:txbxContent>
                      </wps:txbx>
                      <wps:bodyPr anchor="ctr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26" path="m0,0l-2147483645,0l-2147483645,-2147483646l0,-2147483646xe" stroked="f" o:allowincell="f" style="position:absolute;margin-left:238.05pt;margin-top:3.4pt;width:203.35pt;height:40.1pt;mso-wrap-style:square;v-text-anchor:middle" wp14:anchorId="605C3363">
                <v:fill o:detectmouseclick="t" on="false"/>
                <v:stroke color="#3465a4" weight="25560" joinstyle="round" endcap="flat"/>
                <v:textbox>
                  <w:txbxContent>
                    <w:p>
                      <w:pPr>
                        <w:pStyle w:val="Style17"/>
                        <w:rPr>
                          <w:i/>
                          <w:i/>
                        </w:rPr>
                      </w:pPr>
                      <w:r>
                        <w:rPr>
                          <w:i/>
                          <w:color w:val="000000"/>
                        </w:rPr>
                        <w:t xml:space="preserve">Вариант 2 </w:t>
                      </w:r>
                    </w:p>
                    <w:p>
                      <w:pPr>
                        <w:pStyle w:val="Style17"/>
                        <w:rPr>
                          <w:i/>
                          <w:i/>
                        </w:rPr>
                      </w:pPr>
                      <w:r>
                        <w:rPr>
                          <w:i/>
                          <w:color w:val="000000"/>
                        </w:rPr>
                        <w:t>(отсутствие выявленных проблем)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  <mc:AlternateContent>
          <mc:Choice Requires="wps">
            <w:drawing>
              <wp:anchor behindDoc="0" distT="5715" distB="0" distL="43815" distR="44450" simplePos="0" locked="0" layoutInCell="1" allowOverlap="1" relativeHeight="25">
                <wp:simplePos x="0" y="0"/>
                <wp:positionH relativeFrom="column">
                  <wp:posOffset>663575</wp:posOffset>
                </wp:positionH>
                <wp:positionV relativeFrom="paragraph">
                  <wp:posOffset>143510</wp:posOffset>
                </wp:positionV>
                <wp:extent cx="635" cy="404495"/>
                <wp:effectExtent l="43815" t="5715" r="44450" b="0"/>
                <wp:wrapNone/>
                <wp:docPr id="11" name="Прямая со стрелкой 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40464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29" path="m0,0l-2147483648,-2147483647e" stroked="t" o:allowincell="f" style="position:absolute;margin-left:52.25pt;margin-top:11.3pt;width:0pt;height:31.8pt;mso-wrap-style:none;v-text-anchor:middle" type="_x0000_t32">
                <v:fill o:detectmouseclick="t" on="false"/>
                <v:stroke color="black" weight="9360" endarrow="open" endarrowwidth="medium" endarrowlength="medium" joinstyle="round" endcap="flat"/>
                <w10:wrap type="none"/>
              </v:shape>
            </w:pict>
          </mc:Fallback>
        </mc:AlternateContent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</w:r>
    </w:p>
    <w:p>
      <w:pPr>
        <w:pStyle w:val="Normal"/>
        <w:rPr>
          <w:rFonts w:ascii="Times New Roman" w:hAnsi="Times New Roman"/>
          <w:color w:val="000000"/>
          <w:spacing w:val="-8"/>
          <w:kern w:val="0"/>
          <w:sz w:val="28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0"/>
        </w:rPr>
        <mc:AlternateContent>
          <mc:Choice Requires="wps">
            <w:drawing>
              <wp:anchor behindDoc="0" distT="5080" distB="0" distL="5715" distR="5080" simplePos="0" locked="0" layoutInCell="1" allowOverlap="1" relativeHeight="8" wp14:anchorId="20116F00">
                <wp:simplePos x="0" y="0"/>
                <wp:positionH relativeFrom="column">
                  <wp:posOffset>2448560</wp:posOffset>
                </wp:positionH>
                <wp:positionV relativeFrom="paragraph">
                  <wp:posOffset>140970</wp:posOffset>
                </wp:positionV>
                <wp:extent cx="1275715" cy="690880"/>
                <wp:effectExtent l="5715" t="5080" r="5080" b="0"/>
                <wp:wrapNone/>
                <wp:docPr id="12" name="Блок-схема: документ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5840" cy="69084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7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Подготовка  отчета </w:t>
                            </w:r>
                          </w:p>
                        </w:txbxContent>
                      </wps:txbx>
                      <wps:bodyPr anchor="ctr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Блок-схема: документ 5" path="m0,0l21600,0l21600,17322c10800,17322,10800,23922,0,20172xe" fillcolor="white" stroked="t" o:allowincell="f" style="position:absolute;margin-left:192.8pt;margin-top:11.1pt;width:100.4pt;height:54.35pt;mso-wrap-style:square;v-text-anchor:middle" wp14:anchorId="20116F00" type="_x0000_t114"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Style17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Подготовка  отчета </w:t>
                      </w:r>
                    </w:p>
                  </w:txbxContent>
                </v:textbox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5080" distB="5080" distL="5715" distR="4445" simplePos="0" locked="0" layoutInCell="1" allowOverlap="1" relativeHeight="16" wp14:anchorId="2FE87CDF">
                <wp:simplePos x="0" y="0"/>
                <wp:positionH relativeFrom="column">
                  <wp:posOffset>-216535</wp:posOffset>
                </wp:positionH>
                <wp:positionV relativeFrom="paragraph">
                  <wp:posOffset>144145</wp:posOffset>
                </wp:positionV>
                <wp:extent cx="1786255" cy="605790"/>
                <wp:effectExtent l="5715" t="5080" r="4445" b="5080"/>
                <wp:wrapNone/>
                <wp:docPr id="13" name="Прямоугольник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6320" cy="605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7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Пути решения проблем</w:t>
                            </w:r>
                          </w:p>
                        </w:txbxContent>
                      </wps:txbx>
                      <wps:bodyPr anchor="ctr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17" path="m0,0l-2147483645,0l-2147483645,-2147483646l0,-2147483646xe" fillcolor="white" stroked="t" o:allowincell="f" style="position:absolute;margin-left:-17.05pt;margin-top:11.35pt;width:140.6pt;height:47.65pt;mso-wrap-style:square;v-text-anchor:middle" wp14:anchorId="2FE87CDF"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Style17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Пути решения проблем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Normal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  <mc:AlternateContent>
          <mc:Choice Requires="wps">
            <w:drawing>
              <wp:anchor behindDoc="0" distT="43815" distB="44450" distL="5715" distR="0" simplePos="0" locked="0" layoutInCell="1" allowOverlap="1" relativeHeight="26">
                <wp:simplePos x="0" y="0"/>
                <wp:positionH relativeFrom="column">
                  <wp:posOffset>1567180</wp:posOffset>
                </wp:positionH>
                <wp:positionV relativeFrom="paragraph">
                  <wp:posOffset>99695</wp:posOffset>
                </wp:positionV>
                <wp:extent cx="882015" cy="635"/>
                <wp:effectExtent l="5715" t="43815" r="0" b="44450"/>
                <wp:wrapNone/>
                <wp:docPr id="14" name="Прямая со стрелкой 3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000" cy="72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31" path="m0,0l-2147483648,-2147483647e" stroked="t" o:allowincell="f" style="position:absolute;margin-left:123.4pt;margin-top:7.85pt;width:69.4pt;height:0pt;mso-wrap-style:none;v-text-anchor:middle" type="_x0000_t32">
                <v:fill o:detectmouseclick="t" on="false"/>
                <v:stroke color="black" weight="9360" endarrow="open" endarrowwidth="medium" endarrowlength="medium" joinstyle="round" endcap="flat"/>
                <w10:wrap type="none"/>
              </v:shape>
            </w:pict>
          </mc:Fallback>
        </mc:AlternateContent>
      </w:r>
    </w:p>
    <w:p>
      <w:pPr>
        <w:pStyle w:val="Normal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Normal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  <mc:AlternateContent>
          <mc:Choice Requires="wps">
            <w:drawing>
              <wp:anchor behindDoc="0" distT="5715" distB="0" distL="43815" distR="44450" simplePos="0" locked="0" layoutInCell="1" allowOverlap="1" relativeHeight="18" wp14:anchorId="5267C07A">
                <wp:simplePos x="0" y="0"/>
                <wp:positionH relativeFrom="column">
                  <wp:posOffset>3044825</wp:posOffset>
                </wp:positionH>
                <wp:positionV relativeFrom="paragraph">
                  <wp:posOffset>99060</wp:posOffset>
                </wp:positionV>
                <wp:extent cx="635" cy="393065"/>
                <wp:effectExtent l="43815" t="5715" r="44450" b="0"/>
                <wp:wrapNone/>
                <wp:docPr id="15" name="Прямая со стрелкой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39312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20" path="m0,0l-2147483648,-2147483647e" stroked="t" o:allowincell="f" style="position:absolute;margin-left:239.75pt;margin-top:7.8pt;width:0pt;height:30.9pt;mso-wrap-style:none;v-text-anchor:middle" wp14:anchorId="5267C07A" type="_x0000_t32">
                <v:fill o:detectmouseclick="t" on="false"/>
                <v:stroke color="black" weight="9360" endarrow="open" endarrowwidth="medium" endarrowlength="medium" joinstyle="round" endcap="flat"/>
                <w10:wrap type="none"/>
              </v:shape>
            </w:pict>
          </mc:Fallback>
        </mc:AlternateContent>
      </w:r>
    </w:p>
    <w:p>
      <w:pPr>
        <w:pStyle w:val="Normal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  <mc:AlternateContent>
          <mc:Choice Requires="wps">
            <w:drawing>
              <wp:anchor behindDoc="0" distT="5715" distB="5080" distL="5715" distR="5080" simplePos="0" locked="0" layoutInCell="1" allowOverlap="1" relativeHeight="10" wp14:anchorId="5980EB2E">
                <wp:simplePos x="0" y="0"/>
                <wp:positionH relativeFrom="column">
                  <wp:posOffset>2285365</wp:posOffset>
                </wp:positionH>
                <wp:positionV relativeFrom="paragraph">
                  <wp:posOffset>146685</wp:posOffset>
                </wp:positionV>
                <wp:extent cx="1616075" cy="659130"/>
                <wp:effectExtent l="5715" t="5715" r="5080" b="5080"/>
                <wp:wrapNone/>
                <wp:docPr id="16" name="Овал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6040" cy="6591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7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Завершение процесса</w:t>
                            </w:r>
                          </w:p>
                        </w:txbxContent>
                      </wps:txbx>
                      <wps:bodyPr anchor="ctr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shape_0" ID="Овал 6" path="l-2147483648,-2147483643l-2147483628,-2147483627l-2147483648,-2147483643l-2147483626,-2147483625xe" fillcolor="white" stroked="t" o:allowincell="f" style="position:absolute;margin-left:179.95pt;margin-top:11.55pt;width:127.2pt;height:51.85pt;mso-wrap-style:square;v-text-anchor:middle" wp14:anchorId="5980EB2E"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Style17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Завершение процесса</w:t>
                      </w:r>
                    </w:p>
                  </w:txbxContent>
                </v:textbox>
                <w10:wrap type="none"/>
              </v:oval>
            </w:pict>
          </mc:Fallback>
        </mc:AlternateContent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</w:p>
    <w:p>
      <w:pPr>
        <w:pStyle w:val="Normal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</w:r>
      <w:r>
        <w:br w:type="page"/>
      </w:r>
    </w:p>
    <w:p>
      <w:pPr>
        <w:pStyle w:val="Normal"/>
        <w:spacing w:before="0" w:after="0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  <w:t>Приложение 3 к Порядку</w:t>
      </w:r>
    </w:p>
    <w:p>
      <w:pPr>
        <w:pStyle w:val="ListParagraph"/>
        <w:ind w:left="5954"/>
        <w:jc w:val="both"/>
        <w:rPr>
          <w:rFonts w:ascii="Times New Roman" w:hAnsi="Times New Roman"/>
          <w:color w:val="000000"/>
          <w:spacing w:val="-8"/>
          <w:kern w:val="0"/>
          <w:szCs w:val="20"/>
        </w:rPr>
      </w:pPr>
      <w:r>
        <w:rPr>
          <w:rFonts w:ascii="Times New Roman" w:hAnsi="Times New Roman"/>
          <w:color w:val="000000"/>
          <w:spacing w:val="-8"/>
          <w:kern w:val="0"/>
          <w:szCs w:val="20"/>
        </w:rPr>
        <w:t>проведения реинжиниринга межведомственных и внутриведомственных процессов</w:t>
      </w:r>
    </w:p>
    <w:p>
      <w:pPr>
        <w:pStyle w:val="Normal"/>
        <w:suppressAutoHyphens w:val="false"/>
        <w:spacing w:lineRule="auto" w:line="276"/>
        <w:jc w:val="center"/>
        <w:rPr>
          <w:rFonts w:ascii="Times New Roman" w:hAnsi="Times New Roman" w:eastAsia="Times New Roman" w:cs="Times New Roman"/>
          <w:b/>
          <w:kern w:val="0"/>
          <w:sz w:val="28"/>
          <w:szCs w:val="28"/>
          <w:lang w:eastAsia="ru-RU" w:bidi="ar-SA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:lang w:eastAsia="ru-RU" w:bidi="ar-SA"/>
        </w:rPr>
      </w:r>
    </w:p>
    <w:p>
      <w:pPr>
        <w:pStyle w:val="Normal"/>
        <w:suppressAutoHyphens w:val="false"/>
        <w:spacing w:lineRule="auto" w:line="276"/>
        <w:jc w:val="center"/>
        <w:rPr>
          <w:rFonts w:ascii="Times New Roman" w:hAnsi="Times New Roman"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:lang w:eastAsia="ru-RU" w:bidi="ar-SA"/>
        </w:rPr>
        <w:t>Типовой план мероприятий</w:t>
      </w:r>
    </w:p>
    <w:p>
      <w:pPr>
        <w:pStyle w:val="Normal"/>
        <w:suppressAutoHyphens w:val="false"/>
        <w:spacing w:lineRule="auto" w:line="276"/>
        <w:jc w:val="center"/>
        <w:rPr>
          <w:rFonts w:ascii="Times New Roman" w:hAnsi="Times New Roman"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:lang w:eastAsia="ru-RU" w:bidi="ar-SA"/>
        </w:rPr>
        <w:t>по реализации целевого порядка осуществления процесса</w:t>
      </w:r>
    </w:p>
    <w:p>
      <w:pPr>
        <w:pStyle w:val="Normal"/>
        <w:suppressAutoHyphens w:val="false"/>
        <w:spacing w:lineRule="auto" w:line="276"/>
        <w:jc w:val="center"/>
        <w:rPr>
          <w:rFonts w:ascii="Times New Roman" w:hAnsi="Times New Roman"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:lang w:eastAsia="ru-RU" w:bidi="ar-SA"/>
        </w:rPr>
      </w:r>
    </w:p>
    <w:tbl>
      <w:tblPr>
        <w:tblStyle w:val="1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3"/>
        <w:gridCol w:w="3407"/>
        <w:gridCol w:w="1364"/>
        <w:gridCol w:w="1891"/>
        <w:gridCol w:w="2130"/>
      </w:tblGrid>
      <w:tr>
        <w:trPr/>
        <w:tc>
          <w:tcPr>
            <w:tcW w:w="563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№</w:t>
            </w:r>
          </w:p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п/п</w:t>
            </w:r>
          </w:p>
        </w:tc>
        <w:tc>
          <w:tcPr>
            <w:tcW w:w="3407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Мероприятие</w:t>
            </w:r>
          </w:p>
        </w:tc>
        <w:tc>
          <w:tcPr>
            <w:tcW w:w="1364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Дата окончания</w:t>
            </w:r>
          </w:p>
        </w:tc>
        <w:tc>
          <w:tcPr>
            <w:tcW w:w="1891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Ответственный</w:t>
            </w:r>
          </w:p>
        </w:tc>
        <w:tc>
          <w:tcPr>
            <w:tcW w:w="2130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Результат и отчетный документ</w:t>
            </w:r>
          </w:p>
        </w:tc>
      </w:tr>
      <w:tr>
        <w:trPr/>
        <w:tc>
          <w:tcPr>
            <w:tcW w:w="563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lang w:val="ru-RU" w:eastAsia="ru-RU" w:bidi="ar-SA"/>
              </w:rPr>
              <w:t>1.</w:t>
            </w:r>
          </w:p>
        </w:tc>
        <w:tc>
          <w:tcPr>
            <w:tcW w:w="8792" w:type="dxa"/>
            <w:gridSpan w:val="4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lang w:val="ru-RU" w:eastAsia="ru-RU" w:bidi="ar-SA"/>
              </w:rPr>
              <w:t>Организационные мероприятия</w:t>
            </w:r>
          </w:p>
        </w:tc>
      </w:tr>
      <w:tr>
        <w:trPr/>
        <w:tc>
          <w:tcPr>
            <w:tcW w:w="563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lang w:val="ru-RU" w:eastAsia="ru-RU" w:bidi="ar-SA"/>
              </w:rPr>
              <w:t>1.1.</w:t>
            </w:r>
          </w:p>
        </w:tc>
        <w:tc>
          <w:tcPr>
            <w:tcW w:w="340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lang w:eastAsia="ru-RU" w:bidi="ar-SA"/>
              </w:rPr>
            </w:r>
          </w:p>
        </w:tc>
        <w:tc>
          <w:tcPr>
            <w:tcW w:w="1364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  <w:tc>
          <w:tcPr>
            <w:tcW w:w="1891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  <w:tc>
          <w:tcPr>
            <w:tcW w:w="2130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</w:tr>
      <w:tr>
        <w:trPr/>
        <w:tc>
          <w:tcPr>
            <w:tcW w:w="563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lang w:val="en-US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lang w:val="ru-RU" w:eastAsia="ru-RU" w:bidi="ar-SA"/>
              </w:rPr>
              <w:t>1.2.</w:t>
            </w:r>
          </w:p>
        </w:tc>
        <w:tc>
          <w:tcPr>
            <w:tcW w:w="340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lang w:eastAsia="ru-RU" w:bidi="ar-SA"/>
              </w:rPr>
            </w:r>
          </w:p>
        </w:tc>
        <w:tc>
          <w:tcPr>
            <w:tcW w:w="1364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lang w:eastAsia="ru-RU" w:bidi="ar-SA"/>
              </w:rPr>
            </w:r>
          </w:p>
        </w:tc>
        <w:tc>
          <w:tcPr>
            <w:tcW w:w="1891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lang w:eastAsia="ru-RU" w:bidi="ar-SA"/>
              </w:rPr>
            </w:r>
          </w:p>
        </w:tc>
        <w:tc>
          <w:tcPr>
            <w:tcW w:w="2130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Calibri" w:cs="Times New Roman" w:eastAsiaTheme="minorHAnsi"/>
                <w:color w:val="000000"/>
                <w:kern w:val="0"/>
                <w:lang w:eastAsia="en-US" w:bidi="ar-SA"/>
              </w:rPr>
            </w:pPr>
            <w:r>
              <w:rPr>
                <w:rFonts w:eastAsia="Calibri" w:cs="Times New Roman" w:eastAsiaTheme="minorHAnsi" w:ascii="Times New Roman" w:hAnsi="Times New Roman"/>
                <w:color w:val="000000"/>
                <w:kern w:val="0"/>
                <w:lang w:eastAsia="en-US" w:bidi="ar-SA"/>
              </w:rPr>
            </w:r>
          </w:p>
        </w:tc>
      </w:tr>
      <w:tr>
        <w:trPr/>
        <w:tc>
          <w:tcPr>
            <w:tcW w:w="563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2.</w:t>
            </w:r>
          </w:p>
        </w:tc>
        <w:tc>
          <w:tcPr>
            <w:tcW w:w="8792" w:type="dxa"/>
            <w:gridSpan w:val="4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Calibri" w:cs="Times New Roman" w:eastAsiaTheme="minorHAnsi"/>
                <w:color w:val="000000"/>
                <w:kern w:val="0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Внесение изменений в правовые акты</w:t>
            </w:r>
          </w:p>
        </w:tc>
      </w:tr>
      <w:tr>
        <w:trPr/>
        <w:tc>
          <w:tcPr>
            <w:tcW w:w="563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2.1.</w:t>
            </w:r>
          </w:p>
        </w:tc>
        <w:tc>
          <w:tcPr>
            <w:tcW w:w="340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both"/>
              <w:rPr>
                <w:rFonts w:ascii="Times New Roman" w:hAnsi="Times New Roman" w:eastAsia="Times New Roman" w:cs="Times New Roman"/>
                <w:color w:themeColor="text1" w:val="000000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lang w:eastAsia="ru-RU" w:bidi="ar-SA"/>
              </w:rPr>
            </w:r>
          </w:p>
        </w:tc>
        <w:tc>
          <w:tcPr>
            <w:tcW w:w="1364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  <w:tc>
          <w:tcPr>
            <w:tcW w:w="1891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  <w:tc>
          <w:tcPr>
            <w:tcW w:w="2130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</w:tr>
      <w:tr>
        <w:trPr/>
        <w:tc>
          <w:tcPr>
            <w:tcW w:w="563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2.2.</w:t>
            </w:r>
          </w:p>
        </w:tc>
        <w:tc>
          <w:tcPr>
            <w:tcW w:w="340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both"/>
              <w:rPr>
                <w:rFonts w:ascii="Times New Roman" w:hAnsi="Times New Roman" w:eastAsia="Times New Roman" w:cs="Times New Roman"/>
                <w:color w:themeColor="text1" w:val="000000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lang w:eastAsia="ru-RU" w:bidi="ar-SA"/>
              </w:rPr>
            </w:r>
          </w:p>
        </w:tc>
        <w:tc>
          <w:tcPr>
            <w:tcW w:w="1364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  <w:tc>
          <w:tcPr>
            <w:tcW w:w="1891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  <w:tc>
          <w:tcPr>
            <w:tcW w:w="2130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</w:tr>
      <w:tr>
        <w:trPr/>
        <w:tc>
          <w:tcPr>
            <w:tcW w:w="563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3.</w:t>
            </w:r>
          </w:p>
        </w:tc>
        <w:tc>
          <w:tcPr>
            <w:tcW w:w="8792" w:type="dxa"/>
            <w:gridSpan w:val="4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b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Доработка информационных систем и развитие инфраструктуры</w:t>
            </w:r>
          </w:p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(при необходимости)</w:t>
            </w:r>
          </w:p>
        </w:tc>
      </w:tr>
      <w:tr>
        <w:trPr/>
        <w:tc>
          <w:tcPr>
            <w:tcW w:w="563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3.1.</w:t>
            </w:r>
          </w:p>
        </w:tc>
        <w:tc>
          <w:tcPr>
            <w:tcW w:w="340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  <w:tc>
          <w:tcPr>
            <w:tcW w:w="1364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  <w:tc>
          <w:tcPr>
            <w:tcW w:w="1891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  <w:tc>
          <w:tcPr>
            <w:tcW w:w="2130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</w:tr>
      <w:tr>
        <w:trPr/>
        <w:tc>
          <w:tcPr>
            <w:tcW w:w="563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3.2.</w:t>
            </w:r>
          </w:p>
        </w:tc>
        <w:tc>
          <w:tcPr>
            <w:tcW w:w="340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  <w:tc>
          <w:tcPr>
            <w:tcW w:w="1364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  <w:tc>
          <w:tcPr>
            <w:tcW w:w="1891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  <w:tc>
          <w:tcPr>
            <w:tcW w:w="2130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</w:tr>
      <w:tr>
        <w:trPr/>
        <w:tc>
          <w:tcPr>
            <w:tcW w:w="563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4.</w:t>
            </w:r>
          </w:p>
        </w:tc>
        <w:tc>
          <w:tcPr>
            <w:tcW w:w="8792" w:type="dxa"/>
            <w:gridSpan w:val="4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en-US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Иные мероприятия (при необходимости)</w:t>
            </w:r>
          </w:p>
        </w:tc>
      </w:tr>
      <w:tr>
        <w:trPr/>
        <w:tc>
          <w:tcPr>
            <w:tcW w:w="563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4.1.</w:t>
            </w:r>
          </w:p>
        </w:tc>
        <w:tc>
          <w:tcPr>
            <w:tcW w:w="340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  <w:tc>
          <w:tcPr>
            <w:tcW w:w="1364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  <w:tc>
          <w:tcPr>
            <w:tcW w:w="1891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  <w:tc>
          <w:tcPr>
            <w:tcW w:w="2130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</w:tr>
      <w:tr>
        <w:trPr/>
        <w:tc>
          <w:tcPr>
            <w:tcW w:w="563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4.2.</w:t>
            </w:r>
          </w:p>
        </w:tc>
        <w:tc>
          <w:tcPr>
            <w:tcW w:w="340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  <w:tc>
          <w:tcPr>
            <w:tcW w:w="1364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  <w:tc>
          <w:tcPr>
            <w:tcW w:w="1891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  <w:tc>
          <w:tcPr>
            <w:tcW w:w="2130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fals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ru-RU" w:bidi="ar-SA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/>
          <w:color w:val="000000"/>
          <w:spacing w:val="-8"/>
          <w:kern w:val="0"/>
          <w:sz w:val="28"/>
          <w:szCs w:val="28"/>
        </w:rPr>
      </w:pPr>
      <w:r>
        <w:rPr>
          <w:rFonts w:ascii="Times New Roman" w:hAnsi="Times New Roman"/>
          <w:color w:val="000000"/>
          <w:spacing w:val="-8"/>
          <w:kern w:val="0"/>
          <w:sz w:val="28"/>
          <w:szCs w:val="28"/>
        </w:rPr>
      </w:r>
    </w:p>
    <w:sectPr>
      <w:type w:val="nextPage"/>
      <w:pgSz w:w="11906" w:h="16838"/>
      <w:pgMar w:left="1701" w:right="850" w:gutter="0" w:header="0" w:top="1134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  <w:rPr>
        <w:sz w:val="28"/>
        <w:b w:val="false"/>
        <w:szCs w:val="28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5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0"/>
        </w:tabs>
        <w:ind w:left="15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15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15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15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91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bb453c"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6443ca"/>
    <w:rPr>
      <w:b/>
      <w:bCs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9118d"/>
    <w:rPr>
      <w:rFonts w:ascii="Tahoma" w:hAnsi="Tahoma" w:eastAsia="NSimSun" w:cs="Mangal"/>
      <w:kern w:val="2"/>
      <w:sz w:val="16"/>
      <w:szCs w:val="14"/>
      <w:lang w:eastAsia="zh-CN" w:bidi="hi-IN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 w:customStyle="1">
    <w:name w:val="ConsPlusNormal"/>
    <w:qFormat/>
    <w:rsid w:val="00f8664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f8664c"/>
    <w:pPr>
      <w:spacing w:before="0" w:after="0"/>
      <w:ind w:left="720"/>
      <w:contextualSpacing/>
    </w:pPr>
    <w:rPr>
      <w:rFonts w:cs="Mangal"/>
      <w:szCs w:val="21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9118d"/>
    <w:pPr/>
    <w:rPr>
      <w:rFonts w:ascii="Tahoma" w:hAnsi="Tahoma" w:cs="Mangal"/>
      <w:sz w:val="16"/>
      <w:szCs w:val="14"/>
    </w:rPr>
  </w:style>
  <w:style w:type="paragraph" w:styleId="NormalWeb">
    <w:name w:val="Normal (Web)"/>
    <w:basedOn w:val="Normal"/>
    <w:uiPriority w:val="99"/>
    <w:semiHidden/>
    <w:unhideWhenUsed/>
    <w:qFormat/>
    <w:rsid w:val="00606496"/>
    <w:pPr>
      <w:suppressAutoHyphens w:val="false"/>
      <w:spacing w:beforeAutospacing="1" w:afterAutospacing="1"/>
    </w:pPr>
    <w:rPr>
      <w:rFonts w:ascii="Times New Roman" w:hAnsi="Times New Roman" w:eastAsia="Times New Roman" w:cs="Times New Roman"/>
      <w:kern w:val="0"/>
      <w:lang w:eastAsia="ru-RU" w:bidi="ar-SA"/>
    </w:rPr>
  </w:style>
  <w:style w:type="paragraph" w:styleId="Style17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bf1f1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">
    <w:name w:val="Сетка таблицы1"/>
    <w:basedOn w:val="a1"/>
    <w:uiPriority w:val="59"/>
    <w:rsid w:val="006d533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816E2-335B-4606-A0D4-108556275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Application>LibreOffice/7.6.7.2$Linux_X86_64 LibreOffice_project/60$Build-2</Application>
  <AppVersion>15.0000</AppVersion>
  <Pages>7</Pages>
  <Words>1062</Words>
  <Characters>7956</Characters>
  <CharactersWithSpaces>8857</CharactersWithSpaces>
  <Paragraphs>119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2025-06-08T22:12:00Z</dcterms:created>
  <dc:creator>Анжелика Орлова</dc:creator>
  <dc:description/>
  <dc:language>ru-RU</dc:language>
  <cp:lastModifiedBy/>
  <cp:lastPrinted>2025-10-09T11:32:04Z</cp:lastPrinted>
  <dcterms:modified xsi:type="dcterms:W3CDTF">2025-10-13T16:04:09Z</dcterms:modified>
  <cp:revision>113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