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widowControl w:val="false"/>
        <w:numPr>
          <w:ilvl w:val="0"/>
          <w:numId w:val="0"/>
        </w:numPr>
        <w:shd w:val="clear" w:color="auto" w:fill="FFFFFF"/>
        <w:spacing w:lineRule="exact" w:line="322"/>
        <w:ind w:hanging="0" w:left="708"/>
        <w:jc w:val="center"/>
        <w:outlineLvl w:val="0"/>
        <w:rPr>
          <w:bCs/>
          <w:smallCaps/>
          <w:color w:val="000000"/>
          <w:spacing w:val="1"/>
          <w:sz w:val="28"/>
          <w:szCs w:val="28"/>
        </w:rPr>
      </w:pPr>
      <w:r>
        <w:rPr>
          <w:bCs/>
          <w:smallCaps/>
          <w:color w:val="000000"/>
          <w:spacing w:val="1"/>
          <w:sz w:val="28"/>
          <w:szCs w:val="28"/>
        </w:rPr>
        <w:t xml:space="preserve">Администрация Вилючинского городского округа </w:t>
      </w:r>
    </w:p>
    <w:p>
      <w:pPr>
        <w:pStyle w:val="Normal"/>
        <w:keepNext w:val="true"/>
        <w:widowControl w:val="false"/>
        <w:numPr>
          <w:ilvl w:val="0"/>
          <w:numId w:val="0"/>
        </w:numPr>
        <w:shd w:val="clear" w:color="auto" w:fill="FFFFFF"/>
        <w:spacing w:lineRule="exact" w:line="322"/>
        <w:ind w:hanging="0" w:left="708"/>
        <w:jc w:val="center"/>
        <w:outlineLvl w:val="0"/>
        <w:rPr>
          <w:bCs/>
          <w:smallCaps/>
          <w:color w:val="000000"/>
          <w:spacing w:val="1"/>
          <w:sz w:val="28"/>
          <w:szCs w:val="28"/>
        </w:rPr>
      </w:pPr>
      <w:r>
        <w:rPr>
          <w:bCs/>
          <w:smallCaps/>
          <w:color w:val="000000"/>
          <w:spacing w:val="1"/>
          <w:sz w:val="28"/>
          <w:szCs w:val="28"/>
        </w:rPr>
        <w:t xml:space="preserve">закрытого административно-территориального образования </w:t>
      </w:r>
    </w:p>
    <w:p>
      <w:pPr>
        <w:pStyle w:val="Normal"/>
        <w:widowControl w:val="false"/>
        <w:ind w:left="646"/>
        <w:jc w:val="center"/>
        <w:rPr>
          <w:bCs/>
          <w:smallCaps/>
          <w:sz w:val="28"/>
          <w:szCs w:val="28"/>
        </w:rPr>
      </w:pPr>
      <w:r>
        <w:rPr>
          <w:bCs/>
          <w:smallCaps/>
          <w:sz w:val="28"/>
          <w:szCs w:val="28"/>
        </w:rPr>
        <w:t>города Вилючинска Камчатского края</w:t>
      </w:r>
    </w:p>
    <w:p>
      <w:pPr>
        <w:pStyle w:val="Normal"/>
        <w:widowControl w:val="false"/>
        <w:ind w:left="646"/>
        <w:jc w:val="center"/>
        <w:rPr>
          <w:bCs/>
          <w:spacing w:val="200"/>
          <w:sz w:val="28"/>
          <w:szCs w:val="28"/>
        </w:rPr>
      </w:pPr>
      <w:r>
        <w:rPr>
          <w:bCs/>
          <w:spacing w:val="200"/>
          <w:sz w:val="28"/>
          <w:szCs w:val="28"/>
        </w:rPr>
      </w:r>
    </w:p>
    <w:p>
      <w:pPr>
        <w:pStyle w:val="Normal"/>
        <w:keepNext w:val="true"/>
        <w:widowControl w:val="false"/>
        <w:numPr>
          <w:ilvl w:val="0"/>
          <w:numId w:val="0"/>
        </w:numPr>
        <w:spacing w:before="240" w:after="60"/>
        <w:ind w:hanging="0" w:left="646"/>
        <w:jc w:val="center"/>
        <w:outlineLvl w:val="1"/>
        <w:rPr>
          <w:b/>
          <w:bCs/>
          <w:iCs/>
          <w:sz w:val="40"/>
          <w:szCs w:val="40"/>
        </w:rPr>
      </w:pPr>
      <w:r>
        <w:rPr>
          <w:b/>
          <w:bCs/>
          <w:iCs/>
          <w:sz w:val="40"/>
          <w:szCs w:val="40"/>
        </w:rPr>
        <w:t>П О С Т А Н О В Л Е Н И Е</w:t>
      </w:r>
    </w:p>
    <w:p>
      <w:pPr>
        <w:pStyle w:val="Normal"/>
        <w:widowControl w:val="fals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widowControl w:val="false"/>
        <w:jc w:val="both"/>
        <w:rPr>
          <w:u w:val="none"/>
        </w:rPr>
      </w:pPr>
      <w:r>
        <w:rPr>
          <w:bCs/>
          <w:sz w:val="28"/>
          <w:szCs w:val="28"/>
          <w:u w:val="single"/>
        </w:rPr>
        <w:t>11.02.2025</w:t>
      </w:r>
      <w:r>
        <w:rPr>
          <w:bCs/>
          <w:sz w:val="28"/>
          <w:szCs w:val="28"/>
          <w:u w:val="none"/>
        </w:rPr>
        <w:t xml:space="preserve">                                                       </w:t>
      </w:r>
      <w:bookmarkStart w:id="0" w:name="_GoBack"/>
      <w:bookmarkEnd w:id="0"/>
      <w:r>
        <w:rPr>
          <w:bCs/>
          <w:sz w:val="28"/>
          <w:szCs w:val="28"/>
          <w:u w:val="none"/>
        </w:rPr>
        <w:t xml:space="preserve">                                              </w:t>
      </w:r>
      <w:r>
        <w:rPr>
          <w:bCs/>
          <w:sz w:val="28"/>
          <w:szCs w:val="28"/>
          <w:u w:val="single"/>
        </w:rPr>
        <w:t>№ 98</w:t>
      </w:r>
      <w:r>
        <w:rPr>
          <w:bCs/>
          <w:sz w:val="28"/>
          <w:szCs w:val="28"/>
          <w:u w:val="none"/>
        </w:rPr>
        <w:t xml:space="preserve">        </w:t>
      </w:r>
      <w:r>
        <w:rPr>
          <w:b w:val="false"/>
          <w:bCs w:val="false"/>
          <w:sz w:val="28"/>
          <w:szCs w:val="28"/>
          <w:u w:val="none"/>
        </w:rPr>
        <w:t xml:space="preserve"> </w:t>
      </w:r>
    </w:p>
    <w:p>
      <w:pPr>
        <w:pStyle w:val="Normal"/>
        <w:widowControl w:val="false"/>
        <w:jc w:val="center"/>
        <w:rPr>
          <w:b w:val="false"/>
          <w:bCs w:val="false"/>
          <w:sz w:val="20"/>
          <w:szCs w:val="20"/>
          <w:u w:val="none"/>
        </w:rPr>
      </w:pPr>
      <w:r>
        <w:rPr>
          <w:b w:val="false"/>
          <w:bCs w:val="false"/>
          <w:sz w:val="20"/>
          <w:szCs w:val="20"/>
          <w:u w:val="none"/>
        </w:rPr>
      </w:r>
    </w:p>
    <w:p>
      <w:pPr>
        <w:pStyle w:val="Normal"/>
        <w:overflowPunct w:val="true"/>
        <w:jc w:val="center"/>
        <w:rPr>
          <w:sz w:val="20"/>
          <w:szCs w:val="20"/>
        </w:rPr>
      </w:pPr>
      <w:r>
        <w:rPr>
          <w:sz w:val="20"/>
          <w:szCs w:val="20"/>
        </w:rPr>
        <w:t>г. Вилючинск</w:t>
      </w:r>
    </w:p>
    <w:p>
      <w:pPr>
        <w:pStyle w:val="Normal"/>
        <w:overflowPunct w:val="true"/>
        <w:ind w:left="646"/>
        <w:rPr>
          <w:sz w:val="28"/>
          <w:szCs w:val="20"/>
        </w:rPr>
      </w:pPr>
      <w:r>
        <w:rPr>
          <w:sz w:val="28"/>
          <w:szCs w:val="20"/>
        </w:rPr>
      </w:r>
    </w:p>
    <w:tbl>
      <w:tblPr>
        <w:tblpPr w:vertAnchor="text" w:horzAnchor="text" w:leftFromText="180" w:rightFromText="180" w:tblpX="0" w:tblpY="1"/>
        <w:tblW w:w="5245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5245"/>
      </w:tblGrid>
      <w:tr>
        <w:trPr/>
        <w:tc>
          <w:tcPr>
            <w:tcW w:w="5245" w:type="dxa"/>
            <w:tcBorders/>
          </w:tcPr>
          <w:p>
            <w:pPr>
              <w:pStyle w:val="Normal"/>
              <w:rPr>
                <w:sz w:val="28"/>
                <w:szCs w:val="20"/>
              </w:rPr>
            </w:pPr>
            <w:r>
              <w:rPr>
                <w:spacing w:val="-8"/>
                <w:sz w:val="28"/>
                <w:szCs w:val="20"/>
              </w:rPr>
              <w:t>О внесении изменений в муниципальную программу «Культура Вилючинска»</w:t>
            </w:r>
          </w:p>
        </w:tc>
      </w:tr>
    </w:tbl>
    <w:p>
      <w:pPr>
        <w:pStyle w:val="Normal"/>
        <w:tabs>
          <w:tab w:val="clear" w:pos="708"/>
          <w:tab w:val="left" w:pos="0" w:leader="none"/>
        </w:tabs>
        <w:ind w:firstLine="709"/>
        <w:jc w:val="both"/>
        <w:rPr>
          <w:sz w:val="28"/>
          <w:szCs w:val="28"/>
        </w:rPr>
      </w:pPr>
      <w:r/>
      <w:r>
        <w:rPr/>
        <w:br w:type="textWrapping" w:clear="all"/>
      </w:r>
    </w:p>
    <w:p>
      <w:pPr>
        <w:pStyle w:val="Normal"/>
        <w:tabs>
          <w:tab w:val="clear" w:pos="708"/>
          <w:tab w:val="left" w:pos="0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</w:t>
      </w:r>
      <w:hyperlink r:id="rId2">
        <w:r>
          <w:rPr>
            <w:rStyle w:val="Hyperlink"/>
            <w:color w:val="auto"/>
            <w:sz w:val="28"/>
            <w:szCs w:val="28"/>
            <w:u w:val="none"/>
          </w:rPr>
          <w:t>статьей 179</w:t>
        </w:r>
      </w:hyperlink>
      <w:r>
        <w:rPr>
          <w:sz w:val="28"/>
          <w:szCs w:val="28"/>
        </w:rPr>
        <w:t xml:space="preserve"> Бюджетного кодекса Российской Федерации, Федеральным </w:t>
      </w:r>
      <w:hyperlink r:id="rId3">
        <w:r>
          <w:rPr>
            <w:rStyle w:val="Hyperlink"/>
            <w:color w:val="auto"/>
            <w:sz w:val="28"/>
            <w:szCs w:val="28"/>
            <w:u w:val="none"/>
          </w:rPr>
          <w:t>законом</w:t>
        </w:r>
      </w:hyperlink>
      <w:r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</w:t>
      </w:r>
      <w:r>
        <w:rPr>
          <w:rFonts w:cs="Tahoma"/>
          <w:spacing w:val="1"/>
          <w:sz w:val="28"/>
          <w:szCs w:val="28"/>
        </w:rPr>
        <w:t xml:space="preserve">, </w:t>
      </w:r>
      <w:r>
        <w:rPr>
          <w:bCs/>
          <w:spacing w:val="-4"/>
          <w:sz w:val="28"/>
          <w:szCs w:val="28"/>
        </w:rPr>
        <w:t>постановлением администрации Вилючинского городского округа от 10.09.2013 № 1286 «Об утверждении Порядка принятия решений о разработке муниципальных программ, их формирования, реализации, проведения и критериев оценки эффективности реализации муниципальных программ</w:t>
      </w:r>
      <w:r>
        <w:rPr>
          <w:rFonts w:cs="Tahoma"/>
          <w:spacing w:val="1"/>
          <w:sz w:val="28"/>
          <w:szCs w:val="28"/>
        </w:rPr>
        <w:t>»</w:t>
      </w:r>
      <w:r>
        <w:rPr>
          <w:sz w:val="28"/>
          <w:szCs w:val="28"/>
        </w:rPr>
        <w:t xml:space="preserve">, решением Думы Вилючинского городского округа от </w:t>
      </w:r>
      <w:r>
        <w:rPr>
          <w:sz w:val="28"/>
          <w:szCs w:val="28"/>
          <w:shd w:fill="auto" w:val="clear"/>
        </w:rPr>
        <w:t>20.12.2024 № 429/86-7 «О внесении изменений в решение Думы Вилючинского городского округа от 22.12.2023 № 340/65-7 «О местном бюджете на 2024 год и плановый период 2025 и 2026 годов»»</w:t>
      </w:r>
    </w:p>
    <w:p>
      <w:pPr>
        <w:pStyle w:val="Normal"/>
        <w:jc w:val="both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jc w:val="both"/>
        <w:rPr>
          <w:b/>
          <w:sz w:val="28"/>
          <w:szCs w:val="20"/>
        </w:rPr>
      </w:pPr>
      <w:r>
        <w:rPr>
          <w:b/>
          <w:sz w:val="28"/>
          <w:szCs w:val="20"/>
        </w:rPr>
        <w:t>ПОСТАНОВЛЯЮ:</w:t>
      </w:r>
    </w:p>
    <w:p>
      <w:pPr>
        <w:pStyle w:val="Normal"/>
        <w:ind w:right="-2"/>
        <w:jc w:val="both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134" w:leader="none"/>
        </w:tabs>
        <w:ind w:firstLine="709" w:left="0"/>
        <w:jc w:val="both"/>
        <w:rPr>
          <w:spacing w:val="-8"/>
          <w:sz w:val="28"/>
          <w:szCs w:val="20"/>
        </w:rPr>
      </w:pPr>
      <w:r>
        <w:rPr>
          <w:sz w:val="28"/>
          <w:szCs w:val="20"/>
        </w:rPr>
        <w:t xml:space="preserve">Внести </w:t>
      </w:r>
      <w:r>
        <w:rPr>
          <w:spacing w:val="-8"/>
          <w:sz w:val="28"/>
          <w:szCs w:val="20"/>
        </w:rPr>
        <w:t>в муниципальную программу «</w:t>
      </w:r>
      <w:r>
        <w:rPr>
          <w:rFonts w:cs="Tahoma"/>
          <w:bCs/>
          <w:spacing w:val="2"/>
          <w:sz w:val="28"/>
          <w:szCs w:val="28"/>
        </w:rPr>
        <w:t>Культура Вилючинска</w:t>
      </w:r>
      <w:r>
        <w:rPr>
          <w:spacing w:val="-8"/>
          <w:sz w:val="28"/>
          <w:szCs w:val="20"/>
        </w:rPr>
        <w:t xml:space="preserve">», утвержденную постановлением </w:t>
      </w:r>
      <w:r>
        <w:rPr>
          <w:rFonts w:cs="Tahoma"/>
          <w:bCs/>
          <w:spacing w:val="2"/>
          <w:sz w:val="28"/>
          <w:szCs w:val="28"/>
        </w:rPr>
        <w:t xml:space="preserve">администрации Вилючинского городского округа </w:t>
      </w:r>
      <w:r>
        <w:rPr>
          <w:spacing w:val="-8"/>
          <w:sz w:val="28"/>
          <w:szCs w:val="20"/>
        </w:rPr>
        <w:t>от 11.12.2015 № 1565, следующие изменения:</w:t>
      </w:r>
    </w:p>
    <w:p>
      <w:pPr>
        <w:pStyle w:val="ListParagraph"/>
        <w:numPr>
          <w:ilvl w:val="1"/>
          <w:numId w:val="3"/>
        </w:numPr>
        <w:ind w:firstLine="709" w:left="0"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  <w:t>раздел «Объемы и источники финансирования Программы в разрезе источников финансирования» Паспорта Программы изложить в следующей редакции:</w:t>
      </w:r>
    </w:p>
    <w:p>
      <w:pPr>
        <w:pStyle w:val="Normal"/>
        <w:ind w:firstLine="708"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</w:r>
    </w:p>
    <w:tbl>
      <w:tblPr>
        <w:tblW w:w="9498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3686"/>
        <w:gridCol w:w="5811"/>
      </w:tblGrid>
      <w:tr>
        <w:trPr/>
        <w:tc>
          <w:tcPr>
            <w:tcW w:w="3686" w:type="dxa"/>
            <w:tcBorders/>
          </w:tcPr>
          <w:p>
            <w:pPr>
              <w:pStyle w:val="Normal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«Объёмы и источники финансирования Программы в разрезе источников финансирования</w:t>
            </w:r>
          </w:p>
        </w:tc>
        <w:tc>
          <w:tcPr>
            <w:tcW w:w="5811" w:type="dxa"/>
            <w:tcBorders/>
          </w:tcPr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Общий объем финансирования Программы на 2018 - 2027 годы за счет всех источников финансирования составляет 3 775 762,66923  тыс. руб., из них по годам: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341 908,91400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346 560,56144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359 355,59256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371 866,26464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439 185,89031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443 816,64674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438 715,87872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433 295,70000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445 309,66880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452 394,70000 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452 394, 70000 тыс. руб. в том числе за счет средств: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федерального бюджета 10 571, 36533 тыс. руб., из них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0,00000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0,00000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0,00000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0,00000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261,36533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10 000,00000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310,00000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0,00000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0,00000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0,00000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0,00000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краевого бюджета 1 352 689,82769 тыс. руб., из них: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146 484,70094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144 429,42400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147 182,70000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114 513,46808 тыс. руб.,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98 402,33467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113 694,70000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110 327,70000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119 413,70000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119 413,70000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119 413,70000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119 413,70000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  <w:highlight w:val="yellow"/>
              </w:rPr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местного бюджета 3 161 543,32419 тыс. руб., из них: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195 424,21306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202 131,13744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212 172,89256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257 352,79656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340 522,19031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320 121,94674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328 078,17872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313 882,00000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325 895,96880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332 981,00000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332 981,00000 тыс. руб.</w:t>
            </w:r>
          </w:p>
        </w:tc>
      </w:tr>
      <w:tr>
        <w:trPr/>
        <w:tc>
          <w:tcPr>
            <w:tcW w:w="3686" w:type="dxa"/>
            <w:tcBorders/>
          </w:tcPr>
          <w:p>
            <w:pPr>
              <w:pStyle w:val="Normal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</w:tc>
      </w:tr>
    </w:tbl>
    <w:p>
      <w:pPr>
        <w:pStyle w:val="Normal"/>
        <w:tabs>
          <w:tab w:val="clear" w:pos="708"/>
          <w:tab w:val="left" w:pos="1276" w:leader="none"/>
        </w:tabs>
        <w:ind w:firstLine="708"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  <w:t>1.2 раздел «Объемы и источники финансирования Подпрограммы 1 в разделе источников финансирования» Паспорта Подпрограммы 1 «</w:t>
      </w:r>
      <w:r>
        <w:rPr>
          <w:sz w:val="28"/>
          <w:szCs w:val="28"/>
        </w:rPr>
        <w:t>Развитие учреждений культуры»</w:t>
      </w:r>
      <w:r>
        <w:rPr>
          <w:rFonts w:cs="Tahoma"/>
          <w:bCs/>
          <w:spacing w:val="2"/>
          <w:sz w:val="28"/>
          <w:szCs w:val="28"/>
        </w:rPr>
        <w:t>» изложить в следующей редакции:</w:t>
      </w:r>
    </w:p>
    <w:p>
      <w:pPr>
        <w:pStyle w:val="Normal"/>
        <w:ind w:firstLine="708"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</w:r>
    </w:p>
    <w:tbl>
      <w:tblPr>
        <w:tblW w:w="9356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3827"/>
        <w:gridCol w:w="5528"/>
      </w:tblGrid>
      <w:tr>
        <w:trPr/>
        <w:tc>
          <w:tcPr>
            <w:tcW w:w="3827" w:type="dxa"/>
            <w:tcBorders/>
          </w:tcPr>
          <w:p>
            <w:pPr>
              <w:pStyle w:val="ConsPlusNonformat"/>
              <w:widowControl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«Объемы и источники</w:t>
              <w:br/>
              <w:t>финансирования Подпрограммы 1 в разрезе источников финансирования</w:t>
            </w:r>
          </w:p>
        </w:tc>
        <w:tc>
          <w:tcPr>
            <w:tcW w:w="5528" w:type="dxa"/>
            <w:tcBorders/>
          </w:tcPr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Общий объем финансирования Подпрограммы 1 на 2018 – 2027 годы за счет всех источников финансирования составляет 4 497 790,60022 тыс. руб., из них по годам: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337 546,72337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343 113,89181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left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355 716,46339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369 100,34517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436 728,78284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438 211,00512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435 368,61972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431 905,70000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445 309,66880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452 394,70000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452 394,70000 тыс. руб. в том числе за счет средств: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left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left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федерального бюджета 10 571,36533 тыс. руб., из них: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0,00000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0,00000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left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0,00000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0,00000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261,36533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10 000,00000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310,00000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0,00000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left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0,00000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left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0,00000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left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0,00000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краевого бюджета  1 352 689,82769 тыс. руб., из них: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146 484,70094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144 429,42400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147 182,70000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114 513,46808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98 402,33467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113 694,70000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110 327,70000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119 413,70000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119 413,70000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119 413,70000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119 413,70000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местного бюджета 3 134 529,40720 тыс. руб., из них: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191 062,02243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198 684,46781 тыс. руб.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208 533,76339 тыс. руб.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254 586,87709 тыс. руб.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338 065,08284 тыс. руб.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314 516,30512 тыс. руб.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324 730,91972 тыс. руб.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312 492,00000 тыс. руб.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325 895,96880 тыс. руб.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332 981,00000 тыс. руб.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332 981,00000 тыс. руб.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</w:tc>
      </w:tr>
      <w:tr>
        <w:trPr/>
        <w:tc>
          <w:tcPr>
            <w:tcW w:w="3827" w:type="dxa"/>
            <w:tcBorders/>
          </w:tcPr>
          <w:p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528" w:type="dxa"/>
            <w:tcBorders/>
          </w:tcPr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</w:tbl>
    <w:p>
      <w:pPr>
        <w:pStyle w:val="Normal"/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1.3 раздел «Объёмы и источники финансирования подпрограммы 2 в разрезе источников финансирования» Паспорта Подпрограммы 2 «Развитие творческого и профессионального потенциала» изложить в следующей редакции:</w:t>
      </w:r>
    </w:p>
    <w:p>
      <w:pPr>
        <w:pStyle w:val="Normal"/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</w:r>
    </w:p>
    <w:tbl>
      <w:tblPr>
        <w:tblW w:w="9356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3827"/>
        <w:gridCol w:w="5528"/>
      </w:tblGrid>
      <w:tr>
        <w:trPr/>
        <w:tc>
          <w:tcPr>
            <w:tcW w:w="3827" w:type="dxa"/>
            <w:tcBorders/>
          </w:tcPr>
          <w:p>
            <w:pPr>
              <w:pStyle w:val="ConsPlusNonformat"/>
              <w:widowControl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«Объемы и источники</w:t>
              <w:br/>
              <w:t>финансирования Подпрограммы 2 в разрезе источников финансирования</w:t>
            </w:r>
          </w:p>
        </w:tc>
        <w:tc>
          <w:tcPr>
            <w:tcW w:w="5528" w:type="dxa"/>
            <w:tcBorders/>
          </w:tcPr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Общий объем финансирования Подпрограммы 2 на 2018 – 2027 годы за счет всех источников финансирования составляет 27 013,91699 тыс. руб., из них по годам: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4 362,19063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3 446,66963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left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3 639,12917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2 765,91947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2 457,10747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5 605,64162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3 347,25900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1 390,00000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0,00000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0,00000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0,00000 тыс. руб., в том числе за счет средств: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left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местного бюджета 27 013,91699 тыс. руб., из них: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4 362,19063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3 446, 66963 тыс. руб.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3 639, 12917 тыс. руб.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2 765,91947 тыс. руб.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2 457,10747 тыс. руб.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5 605,64162 тыс. руб.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3 347,25900 тыс. руб.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1 390,00000 тыс. руб.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0,00000 тыс. руб.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0,00000 тыс. руб.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0,00000 тыс.руб.</w:t>
            </w:r>
          </w:p>
        </w:tc>
      </w:tr>
    </w:tbl>
    <w:p>
      <w:pPr>
        <w:pStyle w:val="Normal"/>
        <w:ind w:firstLine="709"/>
        <w:jc w:val="both"/>
        <w:rPr>
          <w:spacing w:val="-8"/>
          <w:sz w:val="28"/>
          <w:szCs w:val="20"/>
        </w:rPr>
      </w:pPr>
      <w:r>
        <w:rPr>
          <w:sz w:val="28"/>
          <w:szCs w:val="20"/>
        </w:rPr>
        <w:t>1.4 приложение № 1 к Программе изложить в редакции согласно приложению к настоящему постановлению.</w:t>
      </w:r>
    </w:p>
    <w:p>
      <w:pPr>
        <w:pStyle w:val="Normal"/>
        <w:tabs>
          <w:tab w:val="clear" w:pos="708"/>
          <w:tab w:val="left" w:pos="0" w:leader="none"/>
          <w:tab w:val="left" w:pos="1134" w:leader="none"/>
        </w:tabs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2. Директору муниципального казенного учреждения «Ресурсно-информационный центр» Вилючинского городского округа О.Ю. Трофимовой опубликовать настоящее постановление в «Вилючинская газета. Официальные известия Вилючинского городского округа ЗАТО г. Вилючинска Камчатского  края» и разместить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>
      <w:pPr>
        <w:pStyle w:val="Normal"/>
        <w:tabs>
          <w:tab w:val="clear" w:pos="708"/>
          <w:tab w:val="left" w:pos="0" w:leader="none"/>
        </w:tabs>
        <w:ind w:firstLine="709"/>
        <w:jc w:val="both"/>
        <w:rPr>
          <w:sz w:val="28"/>
          <w:szCs w:val="20"/>
        </w:rPr>
      </w:pPr>
      <w:r>
        <w:rPr>
          <w:sz w:val="28"/>
        </w:rPr>
        <w:t xml:space="preserve">3. </w:t>
      </w:r>
      <w:r>
        <w:rPr>
          <w:sz w:val="28"/>
          <w:szCs w:val="20"/>
        </w:rPr>
        <w:t>Настоящее постановление вступает в силу после дня его официального опубликования и распространяется на правоотношения возникшие с 25.12.2024.</w:t>
      </w:r>
    </w:p>
    <w:p>
      <w:pPr>
        <w:pStyle w:val="Normal"/>
        <w:tabs>
          <w:tab w:val="clear" w:pos="708"/>
          <w:tab w:val="left" w:pos="0" w:leader="none"/>
        </w:tabs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tabs>
          <w:tab w:val="clear" w:pos="708"/>
          <w:tab w:val="left" w:pos="0" w:leader="none"/>
        </w:tabs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  <w:t>Глава Вилючинского</w:t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                                                                           И.В. Головчак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>
          <w:bCs/>
          <w:smallCaps/>
          <w:lang w:val="ru-RU"/>
        </w:rPr>
      </w:pPr>
      <w:r>
        <w:rPr>
          <w:bCs/>
          <w:smallCaps/>
          <w:lang w:val="ru-RU"/>
        </w:rPr>
      </w:r>
    </w:p>
    <w:sectPr>
      <w:headerReference w:type="even" r:id="rId4"/>
      <w:headerReference w:type="default" r:id="rId5"/>
      <w:headerReference w:type="first" r:id="rId6"/>
      <w:footerReference w:type="even" r:id="rId7"/>
      <w:footerReference w:type="default" r:id="rId8"/>
      <w:footerReference w:type="first" r:id="rId9"/>
      <w:type w:val="nextPage"/>
      <w:pgSz w:w="11906" w:h="16838"/>
      <w:pgMar w:left="1701" w:right="707" w:gutter="0" w:header="708" w:top="851" w:footer="708" w:bottom="765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Open Sans">
    <w:charset w:val="01"/>
    <w:family w:val="roman"/>
    <w:pitch w:val="variable"/>
  </w:font>
  <w:font w:name="Courier New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878" w:hanging="1170"/>
      </w:pPr>
      <w:rPr/>
    </w:lvl>
    <w:lvl w:ilvl="1">
      <w:start w:val="2"/>
      <w:numFmt w:val="decimal"/>
      <w:lvlText w:val="%1.%2."/>
      <w:lvlJc w:val="left"/>
      <w:pPr>
        <w:tabs>
          <w:tab w:val="num" w:pos="0"/>
        </w:tabs>
        <w:ind w:left="1428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8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8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8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8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8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8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8" w:hanging="2160"/>
      </w:pPr>
      <w:rPr/>
    </w:lvl>
  </w:abstractNum>
  <w:abstractNum w:abstractNumId="3">
    <w:lvl w:ilvl="0">
      <w:start w:val="1"/>
      <w:numFmt w:val="decimal"/>
      <w:lvlText w:val="%1"/>
      <w:lvlJc w:val="left"/>
      <w:pPr>
        <w:tabs>
          <w:tab w:val="num" w:pos="0"/>
        </w:tabs>
        <w:ind w:left="375" w:hanging="375"/>
      </w:pPr>
      <w:rPr/>
    </w:lvl>
    <w:lvl w:ilvl="1">
      <w:start w:val="1"/>
      <w:numFmt w:val="decimal"/>
      <w:lvlText w:val="%1.%2"/>
      <w:lvlJc w:val="left"/>
      <w:pPr>
        <w:tabs>
          <w:tab w:val="num" w:pos="0"/>
        </w:tabs>
        <w:ind w:left="1803" w:hanging="375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3576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364" w:hanging="108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792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580" w:hanging="144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008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796" w:hanging="180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3584" w:hanging="216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ody Text 2" w:uiPriority="0"/>
    <w:lsdException w:name="Strong" w:uiPriority="22" w:semiHidden="0" w:unhideWhenUsed="0" w:qFormat="1"/>
    <w:lsdException w:name="Emphasis" w:uiPriority="0" w:semiHidden="0" w:unhideWhenUsed="0" w:qFormat="1"/>
    <w:lsdException w:name="Balloon Text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266f9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9"/>
    <w:qFormat/>
    <w:rsid w:val="002023e3"/>
    <w:pPr>
      <w:widowControl w:val="false"/>
      <w:spacing w:before="108" w:after="108"/>
      <w:jc w:val="center"/>
      <w:outlineLvl w:val="0"/>
    </w:pPr>
    <w:rPr>
      <w:rFonts w:ascii="Arial" w:hAnsi="Arial" w:eastAsia="" w:cs="Arial" w:eastAsiaTheme="minorEastAsia"/>
      <w:b/>
      <w:bCs/>
      <w:color w:val="26282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mphasis">
    <w:name w:val="Emphasis"/>
    <w:basedOn w:val="DefaultParagraphFont"/>
    <w:qFormat/>
    <w:rsid w:val="00f266f9"/>
    <w:rPr>
      <w:i/>
      <w:iCs/>
    </w:rPr>
  </w:style>
  <w:style w:type="character" w:styleId="Style13" w:customStyle="1">
    <w:name w:val="Текст выноски Знак"/>
    <w:basedOn w:val="DefaultParagraphFont"/>
    <w:link w:val="BalloonText"/>
    <w:qFormat/>
    <w:rsid w:val="00f266f9"/>
    <w:rPr>
      <w:rFonts w:ascii="Tahoma" w:hAnsi="Tahoma" w:eastAsia="Times New Roman" w:cs="Tahoma"/>
      <w:sz w:val="16"/>
      <w:szCs w:val="16"/>
      <w:lang w:eastAsia="ru-RU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1f4b95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1f4b95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" w:customStyle="1">
    <w:name w:val="Заголовок 1 Знак"/>
    <w:basedOn w:val="DefaultParagraphFont"/>
    <w:uiPriority w:val="99"/>
    <w:qFormat/>
    <w:rsid w:val="002023e3"/>
    <w:rPr>
      <w:rFonts w:ascii="Arial" w:hAnsi="Arial" w:eastAsia="" w:cs="Arial" w:eastAsiaTheme="minorEastAsia"/>
      <w:b/>
      <w:bCs/>
      <w:color w:val="26282F"/>
      <w:sz w:val="24"/>
      <w:szCs w:val="24"/>
      <w:lang w:eastAsia="ru-RU"/>
    </w:rPr>
  </w:style>
  <w:style w:type="character" w:styleId="Style16" w:customStyle="1">
    <w:name w:val="Гипертекстовая ссылка"/>
    <w:basedOn w:val="DefaultParagraphFont"/>
    <w:uiPriority w:val="99"/>
    <w:qFormat/>
    <w:rsid w:val="002023e3"/>
    <w:rPr>
      <w:color w:val="106BBE"/>
    </w:rPr>
  </w:style>
  <w:style w:type="character" w:styleId="Linenumber">
    <w:name w:val="line number"/>
    <w:basedOn w:val="DefaultParagraphFont"/>
    <w:uiPriority w:val="99"/>
    <w:semiHidden/>
    <w:unhideWhenUsed/>
    <w:qFormat/>
    <w:rsid w:val="009c0aa8"/>
    <w:rPr/>
  </w:style>
  <w:style w:type="character" w:styleId="Hyperlink">
    <w:name w:val="Hyperlink"/>
    <w:basedOn w:val="DefaultParagraphFont"/>
    <w:uiPriority w:val="99"/>
    <w:unhideWhenUsed/>
    <w:rsid w:val="00251d3e"/>
    <w:rPr>
      <w:color w:themeColor="hyperlink" w:val="0000FF"/>
      <w:u w:val="single"/>
    </w:rPr>
  </w:style>
  <w:style w:type="character" w:styleId="2" w:customStyle="1">
    <w:name w:val="Основной текст 2 Знак"/>
    <w:basedOn w:val="DefaultParagraphFont"/>
    <w:link w:val="BodyText2"/>
    <w:qFormat/>
    <w:rsid w:val="007003fc"/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WenQuanYi Micro Hei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ConsPlusNonformat" w:customStyle="1">
    <w:name w:val="ConsPlusNonformat"/>
    <w:uiPriority w:val="99"/>
    <w:qFormat/>
    <w:rsid w:val="00f266f9"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PlusCell" w:customStyle="1">
    <w:name w:val="ConsPlusCell"/>
    <w:uiPriority w:val="99"/>
    <w:qFormat/>
    <w:rsid w:val="00f266f9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PlusNormal" w:customStyle="1">
    <w:name w:val="ConsPlusNormal"/>
    <w:qFormat/>
    <w:rsid w:val="00f266f9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Style13"/>
    <w:unhideWhenUsed/>
    <w:qFormat/>
    <w:rsid w:val="00f266f9"/>
    <w:pPr/>
    <w:rPr>
      <w:rFonts w:ascii="Tahoma" w:hAnsi="Tahoma" w:cs="Tahoma"/>
      <w:sz w:val="16"/>
      <w:szCs w:val="16"/>
    </w:rPr>
  </w:style>
  <w:style w:type="paragraph" w:styleId="Style19">
    <w:name w:val="Колонтитул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1f4b9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1f4b9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8c4df5"/>
    <w:pPr>
      <w:spacing w:before="0" w:after="0"/>
      <w:ind w:left="720"/>
      <w:contextualSpacing/>
    </w:pPr>
    <w:rPr/>
  </w:style>
  <w:style w:type="paragraph" w:styleId="Style20" w:customStyle="1">
    <w:name w:val="Таблицы (моноширинный)"/>
    <w:basedOn w:val="Normal"/>
    <w:next w:val="Normal"/>
    <w:qFormat/>
    <w:rsid w:val="00067b36"/>
    <w:pPr>
      <w:widowControl w:val="false"/>
      <w:jc w:val="both"/>
    </w:pPr>
    <w:rPr>
      <w:rFonts w:ascii="Courier New" w:hAnsi="Courier New" w:cs="Courier New"/>
      <w:sz w:val="16"/>
      <w:szCs w:val="16"/>
    </w:rPr>
  </w:style>
  <w:style w:type="paragraph" w:styleId="NoSpacing">
    <w:name w:val="No Spacing"/>
    <w:uiPriority w:val="1"/>
    <w:qFormat/>
    <w:rsid w:val="001b5ba2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ConsPlusTitle" w:customStyle="1">
    <w:name w:val="ConsPlusTitle"/>
    <w:uiPriority w:val="99"/>
    <w:qFormat/>
    <w:rsid w:val="00a965da"/>
    <w:pPr>
      <w:widowControl w:val="false"/>
      <w:suppressAutoHyphens w:val="true"/>
      <w:bidi w:val="0"/>
      <w:spacing w:lineRule="auto" w:line="240" w:before="0" w:after="0"/>
      <w:jc w:val="left"/>
    </w:pPr>
    <w:rPr>
      <w:rFonts w:ascii="Calibri" w:hAnsi="Calibri" w:eastAsia="" w:cs="Calibri" w:eastAsiaTheme="minorEastAsia"/>
      <w:b/>
      <w:bCs/>
      <w:color w:val="auto"/>
      <w:kern w:val="0"/>
      <w:sz w:val="22"/>
      <w:szCs w:val="22"/>
      <w:lang w:val="ru-RU" w:eastAsia="ru-RU" w:bidi="ar-SA"/>
    </w:rPr>
  </w:style>
  <w:style w:type="paragraph" w:styleId="BodyText2">
    <w:name w:val="Body Text 2"/>
    <w:basedOn w:val="Normal"/>
    <w:link w:val="2"/>
    <w:qFormat/>
    <w:rsid w:val="007003fc"/>
    <w:pPr/>
    <w:rPr>
      <w:sz w:val="28"/>
      <w:szCs w:val="20"/>
      <w:lang w:val="x-none" w:eastAsia="x-none"/>
    </w:rPr>
  </w:style>
  <w:style w:type="paragraph" w:styleId="ConsNonformat" w:customStyle="1">
    <w:name w:val="ConsNonformat"/>
    <w:qFormat/>
    <w:rsid w:val="007003fc"/>
    <w:pPr>
      <w:widowControl w:val="false"/>
      <w:suppressAutoHyphens w:val="true"/>
      <w:overflowPunct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Style21" w:customStyle="1">
    <w:name w:val="Прижатый влево"/>
    <w:basedOn w:val="Normal"/>
    <w:next w:val="Normal"/>
    <w:uiPriority w:val="99"/>
    <w:qFormat/>
    <w:rsid w:val="00867b9a"/>
    <w:pPr/>
    <w:rPr>
      <w:rFonts w:ascii="Arial" w:hAnsi="Arial" w:eastAsia="Calibri" w:cs="Arial" w:eastAsiaTheme="minorHAnsi"/>
      <w:lang w:eastAsia="en-US"/>
    </w:rPr>
  </w:style>
  <w:style w:type="paragraph" w:styleId="Style22">
    <w:name w:val="Содержимое врезки"/>
    <w:basedOn w:val="Normal"/>
    <w:qFormat/>
    <w:pPr/>
    <w:rPr/>
  </w:style>
  <w:style w:type="paragraph" w:styleId="Style23">
    <w:name w:val="Содержимое таблицы"/>
    <w:basedOn w:val="Normal"/>
    <w:qFormat/>
    <w:pPr>
      <w:widowControl w:val="false"/>
      <w:suppressLineNumbers/>
    </w:pPr>
    <w:rPr/>
  </w:style>
  <w:style w:type="paragraph" w:styleId="Style24">
    <w:name w:val="Заголовок таблицы"/>
    <w:basedOn w:val="Style23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59"/>
    <w:rsid w:val="000f278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563F105D0874ECC90604F5E9EF5C4D97D31243C2798F794719B2C108FA515BBC3A72DA39DB8FzAHAW" TargetMode="External"/><Relationship Id="rId3" Type="http://schemas.openxmlformats.org/officeDocument/2006/relationships/hyperlink" Target="consultantplus://offline/ref=563F105D0874ECC90604F5E9EF5C4D97D31146C1718B794719B2C108FAz5H1W" TargetMode="Externa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<Relationship Id="rId14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E99D8-0511-4043-BEC6-BFB55C456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1444</TotalTime>
  <Application>LibreOffice/7.6.7.2$Linux_X86_64 LibreOffice_project/60$Build-2</Application>
  <AppVersion>15.0000</AppVersion>
  <Pages>5</Pages>
  <Words>1111</Words>
  <Characters>6024</Characters>
  <CharactersWithSpaces>7294</CharactersWithSpaces>
  <Paragraphs>143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2018-05-22T04:52:00Z</dcterms:created>
  <dc:creator>1</dc:creator>
  <dc:description/>
  <dc:language>ru-RU</dc:language>
  <cp:lastModifiedBy/>
  <cp:lastPrinted>2025-02-04T15:37:57Z</cp:lastPrinted>
  <dcterms:modified xsi:type="dcterms:W3CDTF">2025-02-19T11:36:57Z</dcterms:modified>
  <cp:revision>183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