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yle18"/>
        <w:rPr/>
      </w:pPr>
      <w:r>
        <w:rPr/>
        <w:t xml:space="preserve">Администрация Вилючинского городского округа </w:t>
      </w:r>
    </w:p>
    <w:p>
      <w:pPr>
        <w:pStyle w:val="Style18"/>
        <w:rPr>
          <w:b w:val="false"/>
          <w:bCs/>
        </w:rPr>
      </w:pPr>
      <w:r>
        <w:rPr/>
        <w:t>закрытого административно-территориального образования</w:t>
      </w:r>
    </w:p>
    <w:p>
      <w:pPr>
        <w:pStyle w:val="Heading1"/>
        <w:ind w:hanging="0" w:left="0" w:right="0"/>
        <w:rPr>
          <w:b/>
          <w:bCs/>
          <w:sz w:val="20"/>
          <w:szCs w:val="20"/>
        </w:rPr>
      </w:pPr>
      <w:r>
        <w:rPr>
          <w:b w:val="false"/>
          <w:bCs/>
        </w:rPr>
        <w:t>города Вилючинска Камчатского края</w:t>
      </w:r>
    </w:p>
    <w:p>
      <w:pPr>
        <w:pStyle w:val="Normal"/>
        <w:overflowPunct w:val="false"/>
        <w:autoSpaceDE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autoSpaceDE w:val="false"/>
        <w:jc w:val="center"/>
        <w:rPr>
          <w:b/>
          <w:bCs/>
          <w:spacing w:val="200"/>
          <w:sz w:val="48"/>
          <w:szCs w:val="20"/>
        </w:rPr>
      </w:pPr>
      <w:r>
        <w:rPr>
          <w:b/>
          <w:bCs/>
          <w:spacing w:val="200"/>
          <w:sz w:val="48"/>
          <w:szCs w:val="20"/>
        </w:rPr>
      </w:r>
    </w:p>
    <w:p>
      <w:pPr>
        <w:pStyle w:val="Heading2"/>
        <w:ind w:hanging="0" w:left="0" w:right="0"/>
        <w:rPr>
          <w:b/>
          <w:szCs w:val="20"/>
        </w:rPr>
      </w:pPr>
      <w:r>
        <w:rPr/>
        <w:t>ПОСТАНОВЛЕНИЕ</w:t>
      </w:r>
    </w:p>
    <w:p>
      <w:pPr>
        <w:pStyle w:val="Normal"/>
        <w:overflowPunct w:val="false"/>
        <w:autoSpaceDE w:val="false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Normal"/>
        <w:overflowPunct w:val="false"/>
        <w:autoSpaceDE w:val="false"/>
        <w:rPr/>
      </w:pPr>
      <w:r>
        <w:rPr/>
        <w:t xml:space="preserve"> </w:t>
      </w:r>
      <w:r>
        <w:rPr/>
        <w:t>_</w:t>
      </w:r>
      <w:r>
        <w:rPr/>
        <w:t>13.10.2025</w:t>
      </w:r>
      <w:r>
        <w:rPr/>
        <w:t>__</w:t>
        <w:tab/>
        <w:tab/>
        <w:tab/>
        <w:tab/>
        <w:tab/>
        <w:tab/>
        <w:tab/>
        <w:tab/>
        <w:tab/>
        <w:tab/>
        <w:t xml:space="preserve">№     </w:t>
      </w:r>
      <w:r>
        <w:rPr/>
        <w:t>936</w:t>
      </w:r>
      <w:r>
        <w:rPr/>
        <w:t xml:space="preserve">                                                                   </w:t>
      </w:r>
      <w:r>
        <w:rPr>
          <w:sz w:val="20"/>
          <w:szCs w:val="20"/>
        </w:rPr>
        <w:tab/>
      </w:r>
    </w:p>
    <w:p>
      <w:pPr>
        <w:pStyle w:val="Style21"/>
        <w:rPr>
          <w:sz w:val="16"/>
          <w:szCs w:val="16"/>
        </w:rPr>
      </w:pPr>
      <w:r>
        <w:rPr/>
        <w:t>г. Вилючинск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/>
        <w:suppressAutoHyphens w:val="true"/>
        <w:bidi w:val="0"/>
        <w:ind w:hanging="0" w:left="0" w:right="447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муниципальную программу «Физическая культура, спорт </w:t>
      </w:r>
    </w:p>
    <w:p>
      <w:pPr>
        <w:pStyle w:val="Normal"/>
        <w:widowControl/>
        <w:suppressAutoHyphens w:val="true"/>
        <w:bidi w:val="0"/>
        <w:ind w:hanging="0" w:left="0" w:right="447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молодёжная политика, отдых и оздоровление детей в Вилючинском </w:t>
      </w:r>
    </w:p>
    <w:p>
      <w:pPr>
        <w:pStyle w:val="Normal"/>
        <w:widowControl/>
        <w:suppressAutoHyphens w:val="true"/>
        <w:bidi w:val="0"/>
        <w:ind w:hanging="0" w:left="0" w:right="4479"/>
        <w:rPr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городском округе»</w:t>
      </w:r>
    </w:p>
    <w:p>
      <w:pPr>
        <w:pStyle w:val="Normal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</w:r>
    </w:p>
    <w:p>
      <w:pPr>
        <w:pStyle w:val="Normal"/>
        <w:ind w:firstLine="709" w:right="0"/>
        <w:jc w:val="both"/>
        <w:rPr/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согласно постановлению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</w:t>
      </w:r>
      <w:r>
        <w:rPr>
          <w:sz w:val="28"/>
          <w:szCs w:val="28"/>
          <w:shd w:fill="FFFFFF" w:val="clear"/>
        </w:rPr>
        <w:t xml:space="preserve">постановлением администрации Вилючинского городского округа от 30.12.2020 № 1202 «О внедрении целевой региональной модели дополнительного образования на территории Вилючинского городского округа», </w:t>
      </w:r>
      <w:r>
        <w:rPr>
          <w:sz w:val="28"/>
          <w:szCs w:val="28"/>
        </w:rPr>
        <w:t xml:space="preserve">на основании решения Думы Вилючинского городского округа от 04.07.2025 № 491/101-7 «О внесении изменений в решение Думы Вилючинского городского округа от 20.12.2024 № 432/86-7 «О местном бюджете на 2025 год и на плановый период 2026 и 2027 годов» </w:t>
      </w:r>
      <w:r>
        <w:rPr>
          <w:b/>
          <w:bCs/>
          <w:szCs w:val="28"/>
        </w:rPr>
        <w:t>ПОСТАНОВЛЯЮ:</w:t>
      </w:r>
    </w:p>
    <w:p>
      <w:pPr>
        <w:pStyle w:val="212"/>
        <w:numPr>
          <w:ilvl w:val="0"/>
          <w:numId w:val="2"/>
        </w:numPr>
        <w:tabs>
          <w:tab w:val="clear" w:pos="708"/>
          <w:tab w:val="left" w:pos="993" w:leader="none"/>
        </w:tabs>
        <w:spacing w:before="0" w:after="0"/>
        <w:ind w:firstLine="709" w:left="0" w:right="0"/>
        <w:contextualSpacing/>
        <w:rPr>
          <w:b/>
          <w:bCs/>
          <w:szCs w:val="28"/>
        </w:rPr>
      </w:pPr>
      <w:r>
        <w:rPr>
          <w:color w:val="000000"/>
        </w:rPr>
        <w:t>Внести в муниципальную программу «</w:t>
      </w:r>
      <w:r>
        <w:rPr/>
        <w:t>Физическая культура, спорт, молодежная политика, отдых и оздоровление детей в Вилючинском городском округе</w:t>
      </w:r>
      <w:r>
        <w:rPr>
          <w:color w:val="000000"/>
        </w:rPr>
        <w:t>»</w:t>
      </w:r>
      <w:r>
        <w:rPr>
          <w:color w:val="000000"/>
          <w:lang w:val="ru-RU"/>
        </w:rPr>
        <w:t xml:space="preserve"> (далее – Программа)</w:t>
      </w:r>
      <w:r>
        <w:rPr>
          <w:color w:val="000000"/>
        </w:rPr>
        <w:t>, утвержденную постановлением администрации Вилючинского городского округа от 14.12.2015 № 1573, следующие изменения:</w:t>
      </w:r>
    </w:p>
    <w:p>
      <w:pPr>
        <w:pStyle w:val="212"/>
        <w:numPr>
          <w:ilvl w:val="0"/>
          <w:numId w:val="2"/>
        </w:numPr>
        <w:tabs>
          <w:tab w:val="clear" w:pos="708"/>
          <w:tab w:val="left" w:pos="993" w:leader="none"/>
        </w:tabs>
        <w:spacing w:before="0" w:after="0"/>
        <w:ind w:firstLine="709" w:left="0" w:right="0"/>
        <w:contextualSpacing/>
        <w:rPr>
          <w:color w:val="000000"/>
          <w:sz w:val="28"/>
          <w:szCs w:val="30"/>
        </w:rPr>
      </w:pPr>
      <w:r>
        <w:rPr>
          <w:vanish/>
          <w:color w:val="000000"/>
          <w:szCs w:val="28"/>
        </w:rPr>
        <w:t>Внести в муниципальную программу «Физическая культура, спорт, молодежная политика, отдых и оздоровление детей в Вилючинском городском округе»</w:t>
      </w:r>
      <w:r>
        <w:rPr>
          <w:vanish/>
          <w:color w:val="000000"/>
          <w:szCs w:val="28"/>
          <w:lang w:val="ru-RU"/>
        </w:rPr>
        <w:t xml:space="preserve"> (далее – Программа)</w:t>
      </w:r>
      <w:r>
        <w:rPr>
          <w:vanish/>
          <w:color w:val="000000"/>
          <w:szCs w:val="28"/>
        </w:rPr>
        <w:t>, утвержденную постановлением администрации Вилючинского городского округа от 14.12.2015 № 1573, следующие изменения:</w:t>
      </w:r>
    </w:p>
    <w:tbl>
      <w:tblPr>
        <w:tblW w:w="96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0"/>
        <w:gridCol w:w="22"/>
        <w:gridCol w:w="5954"/>
      </w:tblGrid>
      <w:tr>
        <w:trPr>
          <w:trHeight w:val="836" w:hRule="atLeast"/>
        </w:trPr>
        <w:tc>
          <w:tcPr>
            <w:tcW w:w="9606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1.1. раздел «Объемы и источники финансирования Программы в разрезе источников финансирования» Паспорта Программы изложить в следующей редакции:</w:t>
            </w:r>
          </w:p>
        </w:tc>
      </w:tr>
      <w:tr>
        <w:trPr>
          <w:trHeight w:val="836" w:hRule="atLeast"/>
        </w:trPr>
        <w:tc>
          <w:tcPr>
            <w:tcW w:w="3630" w:type="dxa"/>
            <w:tcBorders/>
          </w:tcPr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«Объемы и источники финансирования Программы в разрезе источников финансирования</w:t>
            </w:r>
          </w:p>
        </w:tc>
        <w:tc>
          <w:tcPr>
            <w:tcW w:w="5976" w:type="dxa"/>
            <w:gridSpan w:val="2"/>
            <w:tcBorders/>
          </w:tcPr>
          <w:p>
            <w:pPr>
              <w:pStyle w:val="Normal"/>
              <w:kinsoku w:val="false"/>
              <w:overflowPunct w:val="false"/>
              <w:autoSpaceDE w:val="false"/>
              <w:spacing w:before="0" w:after="0"/>
              <w:ind w:firstLine="567" w:left="198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Общий объем финансирования программы составляет 1 170 421,51526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82 837,08485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89 154,19378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82 975,06875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90 761,10020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143 848,13163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2023 год – 129 355,04906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2024 год – 104 725,84446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2025 год – 122 222,92757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105 809,36964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2027 год – 109 366,37266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109 366,37266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- федерального бюджета 26 000,00000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26 000,00000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2023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2024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2027 год – 0,00000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0,00000 тыс. руб.</w:t>
            </w:r>
          </w:p>
        </w:tc>
      </w:tr>
      <w:tr>
        <w:trPr>
          <w:trHeight w:val="145" w:hRule="atLeast"/>
        </w:trPr>
        <w:tc>
          <w:tcPr>
            <w:tcW w:w="3652" w:type="dxa"/>
            <w:gridSpan w:val="2"/>
            <w:tcBorders/>
          </w:tcPr>
          <w:p>
            <w:pPr>
              <w:pStyle w:val="Normal"/>
              <w:tabs>
                <w:tab w:val="clear" w:pos="708"/>
                <w:tab w:val="left" w:pos="1276" w:leader="none"/>
              </w:tabs>
              <w:kinsoku w:val="false"/>
              <w:overflowPunct w:val="false"/>
              <w:autoSpaceDE w:val="false"/>
              <w:snapToGrid w:val="fals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954" w:type="dxa"/>
            <w:tcBorders/>
          </w:tcPr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294 780,45322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31 166,25782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31 587,11237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23 099,22203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– 25 635,00000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2025 год –  23 417,34200 тыс. руб.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2026 год –  27 296,00000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2027 год –  </w:t>
            </w: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 xml:space="preserve">27 296,00000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тыс. руб.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2028 год –  </w:t>
            </w: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 xml:space="preserve">27 296,00000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тыс. руб.</w:t>
            </w:r>
          </w:p>
          <w:p>
            <w:pPr>
              <w:pStyle w:val="ConsPlusNonformat"/>
              <w:widowControl/>
              <w:ind w:firstLine="709" w:right="-185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местного бюджета 848 141,83630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50 527,45203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57 567,08141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55 018,48875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66 524,24546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94 748,90960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103 205,11406 тыс. руб.;</w:t>
            </w:r>
          </w:p>
          <w:p>
            <w:pPr>
              <w:pStyle w:val="Normal"/>
              <w:ind w:firstLine="709" w:right="0"/>
              <w:jc w:val="both"/>
              <w:rPr>
                <w:color w:val="000000"/>
                <w:sz w:val="28"/>
                <w:szCs w:val="30"/>
              </w:rPr>
            </w:pPr>
            <w:r>
              <w:rPr>
                <w:sz w:val="28"/>
                <w:szCs w:val="28"/>
                <w:lang w:eastAsia="en-US"/>
              </w:rPr>
              <w:t>2024 год – 79 090,84446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2025 год – 98 805,58557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30"/>
              </w:rPr>
              <w:t>2026 год – 78 513,36964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82 070,37266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spacing w:before="0" w:after="0"/>
              <w:ind w:firstLine="709"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82 070,37266 тыс. руб.</w:t>
            </w:r>
          </w:p>
          <w:p>
            <w:pPr>
              <w:pStyle w:val="ConsPlusNonformat"/>
              <w:widowControl/>
              <w:ind w:firstLine="709" w:right="0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привлеченные средства (по согласованию) 1 499,22574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1 143,37500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355,85074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2027 год – 0,00000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– 0,00000 тыс. руб.»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>1.2. раздел «Объемы и источники финансирования Подпрограммы 1 в разрезе источников финансирования» Паспорта Подпрограммы 1 изложить в следующей редакции:</w:t>
      </w:r>
    </w:p>
    <w:tbl>
      <w:tblPr>
        <w:tblW w:w="9872" w:type="dxa"/>
        <w:jc w:val="left"/>
        <w:tblInd w:w="-14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"/>
        <w:gridCol w:w="3762"/>
        <w:gridCol w:w="26"/>
        <w:gridCol w:w="5779"/>
        <w:gridCol w:w="272"/>
      </w:tblGrid>
      <w:tr>
        <w:trPr>
          <w:trHeight w:val="1454" w:hRule="atLeast"/>
        </w:trPr>
        <w:tc>
          <w:tcPr>
            <w:tcW w:w="33" w:type="dxa"/>
            <w:tcBorders/>
          </w:tcPr>
          <w:p>
            <w:pPr>
              <w:pStyle w:val="Style27"/>
              <w:snapToGrid w:val="fals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788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  <w:tab w:val="left" w:pos="0" w:leader="none"/>
              </w:tabs>
              <w:kinsoku w:val="false"/>
              <w:overflowPunct w:val="false"/>
              <w:autoSpaceDE w:val="fals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«Объемы и источники финансирования Подпрограммы 1 в разрезе источников финансирования</w:t>
            </w:r>
          </w:p>
        </w:tc>
        <w:tc>
          <w:tcPr>
            <w:tcW w:w="605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607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Общий объем финансирования П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одп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рограммы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составляет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1 142 771,37830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тыс. руб.,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 них по годам:</w:t>
            </w:r>
          </w:p>
        </w:tc>
      </w:tr>
      <w:tr>
        <w:trPr>
          <w:trHeight w:val="429" w:hRule="atLeast"/>
        </w:trPr>
        <w:tc>
          <w:tcPr>
            <w:tcW w:w="3795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  <w:tab w:val="left" w:pos="1276" w:leader="none"/>
              </w:tabs>
              <w:kinsoku w:val="false"/>
              <w:overflowPunct w:val="false"/>
              <w:autoSpaceDE w:val="false"/>
              <w:snapToGrid w:val="false"/>
              <w:ind w:firstLine="709" w:left="426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805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71 055,03514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77 706,38835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82 725,76875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87 839,06838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143 341,48163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128 955,74906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104 557,84446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122 047,92757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105 809,36964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109 366,37266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109 366,37266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 том числе за счет средств: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федерального бюджета 26 000,00000 тыс. руб., из них по годам: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26 000,00000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283 162,46303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25 564,90000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25 570,48000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23 099,22203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25 635,00000 </w:t>
            </w:r>
            <w:r>
              <w:rPr>
                <w:sz w:val="28"/>
                <w:szCs w:val="28"/>
                <w:lang w:val="ru-RU"/>
              </w:rPr>
              <w:t>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– 23 417,34200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2026 год – 27 296,00000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  <w:lang w:eastAsia="en-US"/>
              </w:rPr>
              <w:t xml:space="preserve">27 296,00000 </w:t>
            </w:r>
            <w:r>
              <w:rPr>
                <w:sz w:val="28"/>
                <w:szCs w:val="28"/>
              </w:rPr>
              <w:t>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  <w:lang w:eastAsia="en-US"/>
              </w:rPr>
              <w:t xml:space="preserve">27 296,00000 </w:t>
            </w:r>
            <w:r>
              <w:rPr>
                <w:sz w:val="28"/>
                <w:szCs w:val="28"/>
              </w:rPr>
              <w:t>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местного бюджета 833 608,91527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45 490,13514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52 135,90835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54 769,18875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63 958,06438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94 242,25960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102 805,81406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>78 922,84446</w:t>
            </w:r>
            <w:r>
              <w:rPr>
                <w:sz w:val="28"/>
                <w:szCs w:val="28"/>
                <w:lang w:val="ru-RU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</w:rPr>
              <w:t xml:space="preserve"> 98 630,58557тыс.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78 513,36964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82 070,37266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82 070,37266 тыс. руб.»</w:t>
            </w:r>
          </w:p>
        </w:tc>
        <w:tc>
          <w:tcPr>
            <w:tcW w:w="272" w:type="dxa"/>
            <w:tcBorders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kinsoku w:val="false"/>
        <w:overflowPunct w:val="false"/>
        <w:autoSpaceDE w:val="false"/>
        <w:ind w:firstLine="709" w:right="0"/>
        <w:jc w:val="both"/>
        <w:rPr>
          <w:szCs w:val="28"/>
          <w:lang w:val="ru-RU"/>
        </w:rPr>
      </w:pPr>
      <w:r>
        <w:rPr>
          <w:color w:val="000000"/>
          <w:sz w:val="28"/>
          <w:szCs w:val="28"/>
        </w:rPr>
        <w:t>1.3. приложение № 1 к Программе изложить в редакции согласно приложению к настоящему постановлению;</w:t>
      </w:r>
    </w:p>
    <w:p>
      <w:pPr>
        <w:pStyle w:val="212"/>
        <w:tabs>
          <w:tab w:val="clear" w:pos="708"/>
          <w:tab w:val="left" w:pos="709" w:leader="none"/>
        </w:tabs>
        <w:ind w:hanging="0" w:right="0"/>
        <w:rPr>
          <w:szCs w:val="28"/>
        </w:rPr>
      </w:pPr>
      <w:r>
        <w:rPr>
          <w:szCs w:val="28"/>
          <w:lang w:val="ru-RU"/>
        </w:rPr>
        <w:tab/>
        <w:t>2. 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-142" w:leader="none"/>
        </w:tabs>
        <w:spacing w:lineRule="atLeast" w:line="240"/>
        <w:jc w:val="both"/>
        <w:rPr>
          <w:szCs w:val="28"/>
          <w:lang w:val="ru-RU"/>
        </w:rPr>
      </w:pPr>
      <w:r>
        <w:rPr>
          <w:szCs w:val="28"/>
        </w:rPr>
        <w:tab/>
      </w:r>
      <w:r>
        <w:rPr>
          <w:sz w:val="28"/>
          <w:szCs w:val="28"/>
        </w:rPr>
        <w:t>3. Настоящее постановление вступает в силу после дня его официального опубликования и распространяется на правовые отношения возникшие с 04.07.2025.</w:t>
      </w:r>
    </w:p>
    <w:p>
      <w:pPr>
        <w:pStyle w:val="212"/>
        <w:tabs>
          <w:tab w:val="clear" w:pos="708"/>
          <w:tab w:val="left" w:pos="709" w:leader="none"/>
        </w:tabs>
        <w:ind w:hanging="0" w:right="0"/>
        <w:rPr>
          <w:b/>
          <w:szCs w:val="28"/>
          <w:lang w:val="ru-RU"/>
        </w:rPr>
      </w:pPr>
      <w:r>
        <w:rPr>
          <w:szCs w:val="28"/>
          <w:lang w:val="ru-RU"/>
        </w:rPr>
        <w:tab/>
        <w:t>4.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Фролову.</w:t>
      </w:r>
    </w:p>
    <w:p>
      <w:pPr>
        <w:pStyle w:val="Normal"/>
        <w:widowControl w:val="false"/>
        <w:suppressAutoHyphens w:val="false"/>
        <w:overflowPunct w:val="false"/>
        <w:autoSpaceDE w:val="false"/>
        <w:textAlignment w:val="baseline"/>
        <w:rPr>
          <w:b/>
          <w:szCs w:val="28"/>
        </w:rPr>
      </w:pPr>
      <w:r>
        <w:rPr>
          <w:b/>
          <w:sz w:val="28"/>
          <w:szCs w:val="28"/>
          <w:lang w:eastAsia="ru-RU"/>
        </w:rPr>
        <w:t>Врип главы Вилючинского</w:t>
      </w:r>
    </w:p>
    <w:p>
      <w:pPr>
        <w:pStyle w:val="Normal"/>
        <w:tabs>
          <w:tab w:val="clear" w:pos="708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городского округа                                                                                Т.А. Земцова</w:t>
      </w:r>
    </w:p>
    <w:sectPr>
      <w:headerReference w:type="default" r:id="rId2"/>
      <w:type w:val="nextPage"/>
      <w:pgSz w:w="11906" w:h="16838"/>
      <w:pgMar w:left="1418" w:right="850" w:gutter="0" w:header="708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Verdana">
    <w:charset w:val="cc"/>
    <w:family w:val="swiss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lang w:val="ru-RU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2275" w:hanging="114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20" w:hanging="114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20" w:hanging="114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20" w:hanging="114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verflowPunct w:val="false"/>
      <w:autoSpaceDE w:val="false"/>
      <w:jc w:val="center"/>
      <w:outlineLvl w:val="0"/>
    </w:pPr>
    <w:rPr>
      <w:b/>
      <w:smallCaps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verflowPunct w:val="false"/>
      <w:autoSpaceDE w:val="false"/>
      <w:jc w:val="center"/>
      <w:outlineLvl w:val="1"/>
    </w:pPr>
    <w:rPr>
      <w:b/>
      <w:spacing w:val="200"/>
      <w:sz w:val="40"/>
      <w:szCs w:val="20"/>
      <w:lang w:val="ru-RU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b/>
      <w:bCs/>
      <w:sz w:val="28"/>
    </w:rPr>
  </w:style>
  <w:style w:type="character" w:styleId="WW8Num2z0">
    <w:name w:val="WW8Num2z0"/>
    <w:qFormat/>
    <w:rPr>
      <w:lang w:val="ru-RU"/>
    </w:rPr>
  </w:style>
  <w:style w:type="character" w:styleId="WW8Num2z1">
    <w:name w:val="WW8Num2z1"/>
    <w:qFormat/>
    <w:rPr/>
  </w:style>
  <w:style w:type="character" w:styleId="WW8Num1z0">
    <w:name w:val="WW8Num1z0"/>
    <w:qFormat/>
    <w:rPr>
      <w:lang w:val="ru-RU"/>
    </w:rPr>
  </w:style>
  <w:style w:type="character" w:styleId="WW8Num1z1">
    <w:name w:val="WW8Num1z1"/>
    <w:qFormat/>
    <w:rPr/>
  </w:style>
  <w:style w:type="character" w:styleId="1">
    <w:name w:val="Основной шрифт абзаца1"/>
    <w:qFormat/>
    <w:rPr/>
  </w:style>
  <w:style w:type="character" w:styleId="Style11">
    <w:name w:val="Гипертекстовая ссылка"/>
    <w:qFormat/>
    <w:rPr>
      <w:b/>
      <w:bCs/>
      <w:color w:val="008000"/>
    </w:rPr>
  </w:style>
  <w:style w:type="character" w:styleId="Style12">
    <w:name w:val="Основной текст_"/>
    <w:qFormat/>
    <w:rPr>
      <w:sz w:val="27"/>
      <w:szCs w:val="27"/>
      <w:shd w:fill="FFFFFF" w:val="clear"/>
    </w:rPr>
  </w:style>
  <w:style w:type="character" w:styleId="Style13">
    <w:name w:val="Верхний колонтитул Знак"/>
    <w:qFormat/>
    <w:rPr>
      <w:sz w:val="24"/>
      <w:szCs w:val="24"/>
    </w:rPr>
  </w:style>
  <w:style w:type="character" w:styleId="Style14">
    <w:name w:val="Нижний колонтитул Знак"/>
    <w:qFormat/>
    <w:rPr>
      <w:sz w:val="24"/>
      <w:szCs w:val="24"/>
    </w:rPr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11">
    <w:name w:val="Заголовок 1 Знак"/>
    <w:qFormat/>
    <w:rPr>
      <w:b/>
      <w:smallCaps/>
      <w:sz w:val="28"/>
    </w:rPr>
  </w:style>
  <w:style w:type="character" w:styleId="2">
    <w:name w:val="Заголовок 2 Знак"/>
    <w:qFormat/>
    <w:rPr>
      <w:b/>
      <w:spacing w:val="200"/>
      <w:sz w:val="40"/>
    </w:rPr>
  </w:style>
  <w:style w:type="character" w:styleId="Style16">
    <w:name w:val="Название Знак"/>
    <w:qFormat/>
    <w:rPr>
      <w:bCs/>
      <w:smallCaps/>
      <w:sz w:val="28"/>
    </w:rPr>
  </w:style>
  <w:style w:type="character" w:styleId="Style17">
    <w:name w:val="Основной текст с отступом Знак"/>
    <w:qFormat/>
    <w:rPr>
      <w:sz w:val="28"/>
      <w:szCs w:val="24"/>
    </w:rPr>
  </w:style>
  <w:style w:type="character" w:styleId="21">
    <w:name w:val="Основной текст с отступом 2 Знак"/>
    <w:qFormat/>
    <w:rPr>
      <w:sz w:val="28"/>
      <w:szCs w:val="24"/>
    </w:rPr>
  </w:style>
  <w:style w:type="character" w:styleId="Emphasis">
    <w:name w:val="Emphasis"/>
    <w:qFormat/>
    <w:rPr>
      <w:i/>
      <w:iCs/>
    </w:rPr>
  </w:style>
  <w:style w:type="paragraph" w:styleId="Style18">
    <w:name w:val="Заголовок"/>
    <w:basedOn w:val="Normal"/>
    <w:next w:val="BodyText"/>
    <w:qFormat/>
    <w:pPr>
      <w:overflowPunct w:val="false"/>
      <w:autoSpaceDE w:val="false"/>
      <w:jc w:val="center"/>
    </w:pPr>
    <w:rPr>
      <w:bCs/>
      <w:smallCaps/>
      <w:sz w:val="28"/>
      <w:szCs w:val="20"/>
      <w:lang w:val="ru-RU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;Courier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;Courier New"/>
    </w:rPr>
  </w:style>
  <w:style w:type="paragraph" w:styleId="BodyTextIndent">
    <w:name w:val="Body Text Indent"/>
    <w:basedOn w:val="Normal"/>
    <w:pPr>
      <w:ind w:firstLine="900" w:left="0" w:right="0"/>
    </w:pPr>
    <w:rPr>
      <w:sz w:val="28"/>
      <w:lang w:val="ru-RU"/>
    </w:rPr>
  </w:style>
  <w:style w:type="paragraph" w:styleId="211">
    <w:name w:val="Основной текст 21"/>
    <w:basedOn w:val="Normal"/>
    <w:qFormat/>
    <w:pPr>
      <w:overflowPunct w:val="false"/>
      <w:autoSpaceDE w:val="false"/>
      <w:jc w:val="center"/>
    </w:pPr>
    <w:rPr>
      <w:sz w:val="28"/>
      <w:szCs w:val="20"/>
    </w:rPr>
  </w:style>
  <w:style w:type="paragraph" w:styleId="212">
    <w:name w:val="Основной текст с отступом 21"/>
    <w:basedOn w:val="Normal"/>
    <w:qFormat/>
    <w:pPr>
      <w:ind w:firstLine="900" w:left="0" w:right="0"/>
      <w:jc w:val="both"/>
    </w:pPr>
    <w:rPr>
      <w:sz w:val="28"/>
      <w:lang w:val="ru-RU"/>
    </w:rPr>
  </w:style>
  <w:style w:type="paragraph" w:styleId="Style21">
    <w:name w:val="распоряжение"/>
    <w:basedOn w:val="Normal"/>
    <w:next w:val="BodyText"/>
    <w:qFormat/>
    <w:pPr>
      <w:overflowPunct w:val="false"/>
      <w:autoSpaceDE w:val="false"/>
      <w:jc w:val="center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autoSpaceDE w:val="false"/>
      <w:bidi w:val="0"/>
    </w:pPr>
    <w:rPr>
      <w:rFonts w:ascii="Calibri" w:hAnsi="Calibri" w:eastAsia="Times New Roman" w:cs="Calibri"/>
      <w:b/>
      <w:bCs/>
      <w:color w:val="auto"/>
      <w:sz w:val="22"/>
      <w:szCs w:val="22"/>
      <w:lang w:val="ru-RU" w:eastAsia="zh-CN" w:bidi="ar-SA"/>
    </w:rPr>
  </w:style>
  <w:style w:type="paragraph" w:styleId="ConsNormal">
    <w:name w:val="ConsNormal"/>
    <w:qFormat/>
    <w:pPr>
      <w:widowControl w:val="false"/>
      <w:suppressAutoHyphens w:val="true"/>
      <w:autoSpaceDE w:val="false"/>
      <w:bidi w:val="0"/>
      <w:ind w:firstLine="720" w:left="0" w:right="0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Style22">
    <w:name w:val="Абзац списка"/>
    <w:basedOn w:val="Normal"/>
    <w:qFormat/>
    <w:pPr>
      <w:overflowPunct w:val="false"/>
      <w:autoSpaceDE w:val="false"/>
      <w:spacing w:before="0" w:after="0"/>
      <w:ind w:hanging="0" w:left="720" w:right="0"/>
      <w:contextualSpacing/>
      <w:textAlignment w:val="baseline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autoSpaceDE w:val="false"/>
      <w:bidi w:val="0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7">
    <w:name w:val="Основной текст7"/>
    <w:basedOn w:val="Normal"/>
    <w:qFormat/>
    <w:pPr>
      <w:shd w:fill="FFFFFF" w:val="clear"/>
      <w:spacing w:lineRule="exact" w:line="317"/>
    </w:pPr>
    <w:rPr>
      <w:sz w:val="27"/>
      <w:szCs w:val="27"/>
      <w:lang w:val="ru-RU"/>
    </w:rPr>
  </w:style>
  <w:style w:type="paragraph" w:styleId="Style23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  <w:lang w:val="ru-RU"/>
    </w:rPr>
  </w:style>
  <w:style w:type="paragraph" w:styleId="Style25">
    <w:name w:val="Знак"/>
    <w:basedOn w:val="Normal"/>
    <w:qFormat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paragraph" w:styleId="13">
    <w:name w:val="Цитата1"/>
    <w:basedOn w:val="Normal"/>
    <w:qFormat/>
    <w:pPr>
      <w:ind w:hanging="0" w:left="-720" w:right="-365"/>
    </w:pPr>
    <w:rPr>
      <w:sz w:val="28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autoSpaceDE w:val="false"/>
      <w:bidi w:val="0"/>
      <w:textAlignment w:val="baseline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14">
    <w:name w:val="Название объекта1"/>
    <w:basedOn w:val="Normal"/>
    <w:next w:val="Normal"/>
    <w:qFormat/>
    <w:pPr>
      <w:widowControl w:val="false"/>
      <w:overflowPunct w:val="false"/>
      <w:autoSpaceDE w:val="false"/>
      <w:spacing w:lineRule="atLeast" w:line="240" w:before="720" w:after="0"/>
      <w:ind w:firstLine="709" w:left="0" w:right="0"/>
      <w:jc w:val="both"/>
      <w:textAlignment w:val="baseline"/>
    </w:pPr>
    <w:rPr>
      <w:sz w:val="28"/>
      <w:szCs w:val="20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Caption11111">
    <w:name w:val="Caption11111"/>
    <w:basedOn w:val="Normal"/>
    <w:qFormat/>
    <w:pPr>
      <w:widowControl/>
      <w:suppressAutoHyphens w:val="true"/>
      <w:bidi w:val="0"/>
      <w:spacing w:before="120" w:after="120"/>
      <w:jc w:val="left"/>
    </w:pPr>
    <w:rPr>
      <w:rFonts w:cs="Lohit Devanagari"/>
      <w:i/>
      <w:iCs/>
      <w:color w:val="auto"/>
      <w:sz w:val="24"/>
      <w:szCs w:val="24"/>
      <w:lang w:val="ru-RU" w:eastAsia="zh-CN" w:bidi="ar-SA"/>
    </w:rPr>
  </w:style>
  <w:style w:type="paragraph" w:styleId="Caption2">
    <w:name w:val="Caption2"/>
    <w:basedOn w:val="Normal"/>
    <w:qFormat/>
    <w:pPr>
      <w:widowControl/>
      <w:suppressAutoHyphens w:val="true"/>
      <w:bidi w:val="0"/>
      <w:spacing w:before="120" w:after="120"/>
      <w:jc w:val="left"/>
    </w:pPr>
    <w:rPr>
      <w:rFonts w:cs="Lohit Devanagari"/>
      <w:i/>
      <w:iCs/>
      <w:color w:val="auto"/>
      <w:sz w:val="24"/>
      <w:szCs w:val="24"/>
      <w:lang w:val="ru-RU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aption3">
    <w:name w:val="Caption3"/>
    <w:basedOn w:val="Normal"/>
    <w:qFormat/>
    <w:pPr>
      <w:widowControl/>
      <w:suppressAutoHyphens w:val="true"/>
      <w:bidi w:val="0"/>
      <w:spacing w:before="120" w:after="120"/>
      <w:jc w:val="left"/>
    </w:pPr>
    <w:rPr>
      <w:rFonts w:cs="Lohit Devanagari"/>
      <w:i/>
      <w:iCs/>
      <w:color w:val="auto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Application>LibreOffice/7.6.7.2$Linux_X86_64 LibreOffice_project/60$Build-2</Application>
  <AppVersion>15.0000</AppVersion>
  <Pages>4</Pages>
  <Words>1007</Words>
  <Characters>5698</Characters>
  <CharactersWithSpaces>6845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2025-10-15T14:42:02Z</dcterms:modified>
  <cp:revision>36</cp:revision>
  <dc:subject/>
  <dc:title/>
</cp:coreProperties>
</file>