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5387"/>
        <w:rPr>
          <w:bCs/>
          <w:sz w:val="24"/>
        </w:rPr>
      </w:pPr>
      <w:r>
        <w:rPr>
          <w:bCs/>
          <w:sz w:val="24"/>
        </w:rPr>
        <w:t xml:space="preserve">Приложение </w:t>
      </w:r>
    </w:p>
    <w:p>
      <w:pPr>
        <w:pStyle w:val="Normal"/>
        <w:ind w:left="5387"/>
        <w:jc w:val="both"/>
        <w:rPr>
          <w:bCs/>
          <w:sz w:val="24"/>
        </w:rPr>
      </w:pPr>
      <w:r>
        <w:rPr>
          <w:bCs/>
          <w:sz w:val="24"/>
        </w:rPr>
        <w:t xml:space="preserve">к постановлению администрации </w:t>
      </w:r>
    </w:p>
    <w:p>
      <w:pPr>
        <w:pStyle w:val="Normal"/>
        <w:ind w:left="5387"/>
        <w:jc w:val="both"/>
        <w:rPr>
          <w:bCs/>
          <w:sz w:val="24"/>
        </w:rPr>
      </w:pPr>
      <w:r>
        <w:rPr>
          <w:bCs/>
          <w:sz w:val="24"/>
        </w:rPr>
        <w:t xml:space="preserve">Вилючинского городского округа </w:t>
      </w:r>
    </w:p>
    <w:p>
      <w:pPr>
        <w:pStyle w:val="Normal"/>
        <w:ind w:left="5387"/>
        <w:jc w:val="both"/>
        <w:rPr>
          <w:bCs/>
          <w:sz w:val="24"/>
        </w:rPr>
      </w:pPr>
      <w:r>
        <w:rPr>
          <w:bCs/>
          <w:sz w:val="24"/>
        </w:rPr>
        <w:t>07.10.2025</w:t>
      </w:r>
      <w:r>
        <w:rPr>
          <w:bCs/>
          <w:sz w:val="24"/>
        </w:rPr>
        <w:t xml:space="preserve"> № </w:t>
      </w:r>
      <w:r>
        <w:rPr>
          <w:bCs/>
          <w:sz w:val="24"/>
        </w:rPr>
        <w:t>910</w:t>
      </w:r>
    </w:p>
    <w:p>
      <w:pPr>
        <w:pStyle w:val="Normal"/>
        <w:jc w:val="both"/>
        <w:rPr>
          <w:b/>
          <w:bCs/>
          <w:sz w:val="24"/>
        </w:rPr>
      </w:pPr>
      <w:r>
        <w:rPr>
          <w:b/>
          <w:bCs/>
          <w:sz w:val="24"/>
        </w:rPr>
      </w:r>
    </w:p>
    <w:p>
      <w:pPr>
        <w:pStyle w:val="Normal"/>
        <w:jc w:val="center"/>
        <w:rPr>
          <w:b/>
        </w:rPr>
      </w:pPr>
      <w:r>
        <w:rPr>
          <w:b/>
        </w:rPr>
        <w:t xml:space="preserve">Порядок изучения мнения населения </w:t>
      </w:r>
    </w:p>
    <w:p>
      <w:pPr>
        <w:pStyle w:val="Normal"/>
        <w:jc w:val="center"/>
        <w:rPr>
          <w:b/>
        </w:rPr>
      </w:pPr>
      <w:r>
        <w:rPr>
          <w:b/>
        </w:rPr>
        <w:t>о качестве оказания муниципальных услуг</w:t>
      </w:r>
    </w:p>
    <w:p>
      <w:pPr>
        <w:pStyle w:val="Normal"/>
        <w:spacing w:before="0" w:after="60"/>
        <w:jc w:val="both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</w:r>
    </w:p>
    <w:p>
      <w:pPr>
        <w:pStyle w:val="NormalWeb"/>
        <w:spacing w:beforeAutospacing="0" w:before="0" w:afterAutospacing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1.Общие положения</w:t>
      </w:r>
    </w:p>
    <w:p>
      <w:pPr>
        <w:pStyle w:val="Normal"/>
        <w:spacing w:before="0" w:after="60"/>
        <w:jc w:val="both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Настоящий Порядок изучения мнения населения о качестве оказания муниципальных услуг (далее - Порядок) разработан в целях повышения качества и доступности предоставления муниципальных услуг населению отраслевыми (функциональными) органами Администрации Вилючинского городского округа.(далее – органы Администрации).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Порядок устанавливает процедуру изучения мнения населения о качестве оказания муниципальных услуг (далее - изучение мнения населения) органами Администрации.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Основными целями изучения мнения населения являются:</w:t>
      </w:r>
    </w:p>
    <w:p>
      <w:pPr>
        <w:pStyle w:val="Normal"/>
        <w:numPr>
          <w:ilvl w:val="0"/>
          <w:numId w:val="2"/>
        </w:numPr>
        <w:ind w:firstLine="709" w:left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выявление степени удовлетворенности населения качеством предоставляемых муниципальных услуг;</w:t>
      </w:r>
    </w:p>
    <w:p>
      <w:pPr>
        <w:pStyle w:val="Normal"/>
        <w:numPr>
          <w:ilvl w:val="0"/>
          <w:numId w:val="2"/>
        </w:numPr>
        <w:ind w:firstLine="709" w:left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создание системы мониторинга качества и доступности предоставляемых муниципальных услуг;</w:t>
      </w:r>
    </w:p>
    <w:p>
      <w:pPr>
        <w:pStyle w:val="Normal"/>
        <w:numPr>
          <w:ilvl w:val="0"/>
          <w:numId w:val="2"/>
        </w:numPr>
        <w:ind w:firstLine="709" w:left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разработка мер, направленных на снижение административных барьеров, оптимизацию и повышение качества предоставляемых муниципальных услуг.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>Объектами изучения мнения населения являются качество и доступность муниципальных услуг, предоставляемых Администрацией.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>Ответственным за проведение изучения мнения населения и подведение его итогов является специалист Администрации, обеспечивающий предоставление муниципальной услуги (далее – уполномоченное лицо).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szCs w:val="28"/>
        </w:rPr>
      </w:pPr>
      <w:r>
        <w:rPr>
          <w:szCs w:val="28"/>
        </w:rPr>
        <w:t>Организатором проведения изучения мнения населения о качестве оказываемых муниципальных услуг является аппарат администрации Вилючинского городского округа (далее — аппарат администрации).</w:t>
      </w:r>
    </w:p>
    <w:p>
      <w:pPr>
        <w:pStyle w:val="ListParagraph"/>
        <w:ind w:left="0"/>
        <w:jc w:val="both"/>
        <w:rPr>
          <w:b/>
          <w:szCs w:val="28"/>
        </w:rPr>
      </w:pPr>
      <w:r>
        <w:rPr>
          <w:b/>
          <w:szCs w:val="28"/>
        </w:rPr>
      </w:r>
    </w:p>
    <w:p>
      <w:pPr>
        <w:pStyle w:val="ListParagraph"/>
        <w:numPr>
          <w:ilvl w:val="0"/>
          <w:numId w:val="3"/>
        </w:numPr>
        <w:ind w:hanging="450" w:left="0"/>
        <w:jc w:val="center"/>
        <w:rPr>
          <w:b/>
        </w:rPr>
      </w:pPr>
      <w:r>
        <w:rPr>
          <w:b/>
        </w:rPr>
        <w:t xml:space="preserve">Порядок изучения мнения населения </w:t>
      </w:r>
    </w:p>
    <w:p>
      <w:pPr>
        <w:pStyle w:val="ListParagraph"/>
        <w:ind w:left="0"/>
        <w:jc w:val="center"/>
        <w:rPr>
          <w:b/>
        </w:rPr>
      </w:pPr>
      <w:r>
        <w:rPr>
          <w:b/>
        </w:rPr>
        <w:t xml:space="preserve">о качестве оказания муниципальных услуг на территории </w:t>
      </w:r>
    </w:p>
    <w:p>
      <w:pPr>
        <w:pStyle w:val="ListParagraph"/>
        <w:ind w:left="0"/>
        <w:jc w:val="center"/>
        <w:rPr>
          <w:b/>
        </w:rPr>
      </w:pPr>
      <w:r>
        <w:rPr>
          <w:b/>
        </w:rPr>
        <w:t>Вилючинского городского округа</w:t>
      </w:r>
    </w:p>
    <w:p>
      <w:pPr>
        <w:pStyle w:val="Normal"/>
        <w:rPr>
          <w:b/>
          <w:szCs w:val="28"/>
        </w:rPr>
      </w:pPr>
      <w:r>
        <w:rPr>
          <w:b/>
          <w:szCs w:val="28"/>
        </w:rPr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szCs w:val="28"/>
        </w:rPr>
      </w:pPr>
      <w:r>
        <w:rPr>
          <w:szCs w:val="28"/>
        </w:rPr>
        <w:t>Изучение мнения населения осуществляется путем письменного опроса (анкетирования).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szCs w:val="28"/>
        </w:rPr>
      </w:pPr>
      <w:r>
        <w:rPr>
          <w:szCs w:val="28"/>
        </w:rPr>
        <w:t>Письменный опрос (анкетирование) проводится среди совершеннолетних граждан Российской Федерации, участвовавших в получении муниципальных услуг, и осуществляется непосредственно по месту предоставления муниципальных услуг (в органе Администрации).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szCs w:val="28"/>
        </w:rPr>
      </w:pPr>
      <w:r>
        <w:rPr/>
        <w:t xml:space="preserve">Участие в письменном опросе (анкетировании) является свободным и добровольным, никто не может быть принужден к выражению своего мнения или отказу от него. 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szCs w:val="28"/>
        </w:rPr>
      </w:pPr>
      <w:r>
        <w:rPr>
          <w:szCs w:val="28"/>
        </w:rPr>
        <w:t>До начала заполнения анкеты респондент должен быть проинформирован уполномоченным лицом о праве не отвечать на любые из заданных ему вопросов.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szCs w:val="28"/>
        </w:rPr>
      </w:pPr>
      <w:r>
        <w:rPr>
          <w:szCs w:val="28"/>
        </w:rPr>
        <w:t>Изучение мнения населения осуществляется по необходимости, но не реже одного раза в год, в сроки, установленные распоряжением главы Вилючинского городского округа.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szCs w:val="28"/>
        </w:rPr>
      </w:pPr>
      <w:r>
        <w:rPr>
          <w:szCs w:val="28"/>
        </w:rPr>
        <w:t>В отношении отдельных муниципальных услуг допускается проведение ежемесячного (ежеквартального) изучения мнения населения о качестве оказания муниципальных услуг, в том числе с использованием средств массовой информации и дополнительных информационных систем.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Опрос населения проводится в соответствии с</w:t>
      </w:r>
      <w:r>
        <w:rPr/>
        <w:t xml:space="preserve"> </w:t>
      </w:r>
      <w:r>
        <w:rPr>
          <w:rFonts w:eastAsia="Calibri"/>
          <w:szCs w:val="28"/>
          <w:lang w:eastAsia="en-US"/>
        </w:rPr>
        <w:t xml:space="preserve">формой опросного листа, установленной приложением 1 к настоящему Порядку. 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 подаче запроса на получение муниципальной услуги (получение результата услуги) уполномоченное лицо предлагает заявителю ответить на вопросы анкеты.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Заполнение респондентом более чем одной анкеты не допускается.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Ответы респондентов подлежат переводу уполномоченным лицом в бальные оценки в соответствии с приложением 2 к настоящему Порядку для расчета уровня удовлетворенности качеством муниципальной услуги отдельного респондента и вносятся в сводную форму согласно приложению 3 к настоящему Порядку.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На основании сводной формы рассчитывается значение общего уровня удовлетворенности респондентов по каждой отдельной муниципальной услуге.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Сводная форма направляется уполномоченным лицом в аппарат администрации не позднее 5 рабочих дней после даты окончания проведения письменного опроса (анкетирования).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eastAsia="Calibri"/>
          <w:b/>
          <w:szCs w:val="28"/>
          <w:lang w:eastAsia="en-US"/>
        </w:rPr>
      </w:pPr>
      <w:r>
        <w:rPr>
          <w:rFonts w:eastAsia="Calibri"/>
          <w:szCs w:val="28"/>
          <w:lang w:eastAsia="en-US"/>
        </w:rPr>
        <w:t>Аппарат администрации переносит данные сводной формы в таблицу согласно приложению 4 к настоящему Порядку для определения среднего уровня удовлетворенности респондентов качеством предоставления всех муниципальных услуг.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eastAsia="Calibri"/>
          <w:b/>
          <w:szCs w:val="28"/>
          <w:lang w:eastAsia="en-US"/>
        </w:rPr>
      </w:pPr>
      <w:r>
        <w:rPr>
          <w:rFonts w:eastAsia="Calibri"/>
          <w:szCs w:val="28"/>
          <w:lang w:eastAsia="en-US"/>
        </w:rPr>
        <w:t>Уровень удовлетворенности граждан качеством предоставления муниципальных услуг считается высоким, если среднее значение показателя по всем муниципальным услугам составляет не менее 85,00%.</w:t>
      </w:r>
    </w:p>
    <w:p>
      <w:pPr>
        <w:pStyle w:val="ListParagraph"/>
        <w:numPr>
          <w:ilvl w:val="1"/>
          <w:numId w:val="3"/>
        </w:numPr>
        <w:ind w:firstLine="709" w:left="0"/>
        <w:jc w:val="both"/>
        <w:rPr>
          <w:rFonts w:eastAsia="Calibri"/>
          <w:b/>
          <w:szCs w:val="28"/>
          <w:lang w:eastAsia="en-US"/>
        </w:rPr>
      </w:pPr>
      <w:r>
        <w:rPr>
          <w:rFonts w:eastAsia="Calibri"/>
          <w:szCs w:val="28"/>
          <w:lang w:eastAsia="en-US"/>
        </w:rPr>
        <w:t>Итоги изучения мнения населения размещаются аппаратом администрации на официальном сайте администрации Вилючинского городского округа.в информационно-телекоммуникационной сети «Интернет».</w:t>
      </w:r>
    </w:p>
    <w:p>
      <w:pPr>
        <w:pStyle w:val="Normal"/>
        <w:ind w:firstLine="709"/>
        <w:jc w:val="both"/>
        <w:rPr/>
      </w:pPr>
      <w:r>
        <w:rPr/>
      </w:r>
      <w:r>
        <w:br w:type="page"/>
      </w:r>
    </w:p>
    <w:p>
      <w:pPr>
        <w:pStyle w:val="Normal"/>
        <w:tabs>
          <w:tab w:val="clear" w:pos="708"/>
          <w:tab w:val="left" w:pos="5812" w:leader="none"/>
        </w:tabs>
        <w:spacing w:before="0" w:after="0"/>
        <w:ind w:left="5954"/>
        <w:rPr>
          <w:bCs/>
          <w:sz w:val="24"/>
        </w:rPr>
      </w:pPr>
      <w:r>
        <w:rPr>
          <w:bCs/>
          <w:sz w:val="24"/>
        </w:rPr>
        <w:t>Приложение 1</w:t>
      </w:r>
    </w:p>
    <w:p>
      <w:pPr>
        <w:pStyle w:val="Normal"/>
        <w:tabs>
          <w:tab w:val="clear" w:pos="708"/>
          <w:tab w:val="left" w:pos="5812" w:leader="none"/>
        </w:tabs>
        <w:ind w:left="5954"/>
        <w:jc w:val="both"/>
        <w:rPr>
          <w:bCs/>
          <w:sz w:val="24"/>
        </w:rPr>
      </w:pPr>
      <w:r>
        <w:rPr>
          <w:bCs/>
          <w:sz w:val="24"/>
        </w:rPr>
        <w:t>к Порядку изучения мнения населения о качестве оказания муниципальных услуг</w:t>
      </w:r>
    </w:p>
    <w:p>
      <w:pPr>
        <w:pStyle w:val="Normal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jc w:val="center"/>
        <w:rPr>
          <w:rFonts w:eastAsia="Calibri"/>
          <w:b/>
          <w:bCs/>
          <w:sz w:val="24"/>
          <w:lang w:eastAsia="en-US"/>
        </w:rPr>
      </w:pPr>
      <w:r>
        <w:rPr>
          <w:rFonts w:eastAsia="Calibri"/>
          <w:b/>
          <w:bCs/>
          <w:sz w:val="24"/>
          <w:szCs w:val="20"/>
          <w:lang w:eastAsia="en-US"/>
        </w:rPr>
        <w:t>АНКЕТА</w:t>
      </w:r>
      <w:r>
        <w:rPr>
          <w:rFonts w:eastAsia="Calibri"/>
          <w:b/>
          <w:bCs/>
          <w:sz w:val="24"/>
          <w:lang w:eastAsia="en-US"/>
        </w:rPr>
        <w:t xml:space="preserve"> </w:t>
      </w:r>
    </w:p>
    <w:p>
      <w:pPr>
        <w:pStyle w:val="Normal"/>
        <w:jc w:val="center"/>
        <w:rPr>
          <w:rFonts w:eastAsia="Calibri"/>
          <w:b/>
          <w:bCs/>
          <w:sz w:val="24"/>
          <w:lang w:eastAsia="en-US"/>
        </w:rPr>
      </w:pPr>
      <w:r>
        <w:rPr>
          <w:rFonts w:eastAsia="Calibri"/>
          <w:b/>
          <w:bCs/>
          <w:sz w:val="24"/>
          <w:lang w:eastAsia="en-US"/>
        </w:rPr>
      </w:r>
    </w:p>
    <w:p>
      <w:pPr>
        <w:pStyle w:val="Normal"/>
        <w:jc w:val="center"/>
        <w:rPr>
          <w:rFonts w:eastAsia="Calibri"/>
          <w:b/>
          <w:bCs/>
          <w:sz w:val="24"/>
          <w:lang w:eastAsia="en-US"/>
        </w:rPr>
      </w:pPr>
      <w:r>
        <w:rPr>
          <w:rFonts w:eastAsia="Calibri"/>
          <w:b/>
          <w:bCs/>
          <w:sz w:val="24"/>
          <w:lang w:eastAsia="en-US"/>
        </w:rPr>
        <w:t>ИЗУЧЕНИЕ МНЕНИЯ НАСЕЛЕНИЯ О КАЧЕСТВЕ ОКАЗАНИЯ МУНИЦИПАЛЬНОЙ УСЛУГИ</w:t>
      </w:r>
    </w:p>
    <w:p>
      <w:pPr>
        <w:pStyle w:val="Normal"/>
        <w:spacing w:before="120" w:after="0"/>
        <w:jc w:val="center"/>
        <w:rPr>
          <w:rFonts w:eastAsia="Calibri"/>
          <w:b/>
          <w:bCs/>
          <w:sz w:val="24"/>
          <w:lang w:eastAsia="en-US"/>
        </w:rPr>
      </w:pPr>
      <w:r>
        <w:rPr>
          <w:rFonts w:eastAsia="Calibri"/>
          <w:b/>
          <w:bCs/>
          <w:sz w:val="24"/>
          <w:lang w:eastAsia="en-US"/>
        </w:rPr>
        <w:t>_____________________________________________________________________________</w:t>
      </w:r>
    </w:p>
    <w:p>
      <w:pPr>
        <w:pStyle w:val="Normal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(наименование муниципальной услуги) </w:t>
      </w:r>
    </w:p>
    <w:p>
      <w:pPr>
        <w:pStyle w:val="Normal"/>
        <w:jc w:val="both"/>
        <w:rPr>
          <w:sz w:val="24"/>
        </w:rPr>
      </w:pPr>
      <w:r>
        <w:rPr>
          <w:sz w:val="24"/>
        </w:rPr>
      </w:r>
    </w:p>
    <w:tbl>
      <w:tblPr>
        <w:tblStyle w:val="a5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786"/>
        <w:gridCol w:w="4784"/>
      </w:tblGrid>
      <w:tr>
        <w:trPr>
          <w:trHeight w:val="443" w:hRule="atLeast"/>
        </w:trPr>
        <w:tc>
          <w:tcPr>
            <w:tcW w:w="9570" w:type="dxa"/>
            <w:gridSpan w:val="2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numPr>
                <w:ilvl w:val="0"/>
                <w:numId w:val="10"/>
              </w:numPr>
              <w:suppressAutoHyphens w:val="true"/>
              <w:spacing w:before="0" w:after="0"/>
              <w:ind w:firstLine="709" w:left="0"/>
              <w:jc w:val="both"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kern w:val="0"/>
                <w:sz w:val="24"/>
                <w:u w:val="single"/>
                <w:lang w:val="ru-RU" w:bidi="ar-SA"/>
              </w:rPr>
              <w:t>Оценка процесса получения услуги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82" w:hRule="atLeast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numPr>
                <w:ilvl w:val="0"/>
                <w:numId w:val="11"/>
              </w:numPr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b/>
                <w:bCs/>
                <w:kern w:val="0"/>
                <w:sz w:val="24"/>
                <w:lang w:val="ru-RU" w:bidi="ar-SA"/>
              </w:rPr>
              <w:t>Как долго Вы ожидали приема?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numPr>
                <w:ilvl w:val="0"/>
                <w:numId w:val="11"/>
              </w:numPr>
              <w:suppressAutoHyphens w:val="true"/>
              <w:spacing w:before="0" w:after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kern w:val="0"/>
                <w:sz w:val="24"/>
                <w:lang w:val="ru-RU" w:bidi="ar-SA"/>
              </w:rPr>
              <w:t>Оцените доступность информации о порядке получения услуги</w:t>
            </w:r>
          </w:p>
        </w:tc>
      </w:tr>
      <w:tr>
        <w:trPr>
          <w:trHeight w:val="1116" w:hRule="atLeast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numPr>
                <w:ilvl w:val="1"/>
                <w:numId w:val="4"/>
              </w:numPr>
              <w:tabs>
                <w:tab w:val="clear" w:pos="708"/>
                <w:tab w:val="left" w:pos="0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Менее 15 минут</w:t>
            </w:r>
          </w:p>
          <w:p>
            <w:pPr>
              <w:pStyle w:val="Normal"/>
              <w:widowControl/>
              <w:numPr>
                <w:ilvl w:val="1"/>
                <w:numId w:val="4"/>
              </w:numPr>
              <w:tabs>
                <w:tab w:val="clear" w:pos="708"/>
                <w:tab w:val="left" w:pos="0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15-30 минут</w:t>
            </w:r>
          </w:p>
          <w:p>
            <w:pPr>
              <w:pStyle w:val="Normal"/>
              <w:widowControl/>
              <w:numPr>
                <w:ilvl w:val="1"/>
                <w:numId w:val="4"/>
              </w:numPr>
              <w:tabs>
                <w:tab w:val="clear" w:pos="708"/>
                <w:tab w:val="left" w:pos="0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30-60 минут</w:t>
            </w:r>
          </w:p>
          <w:p>
            <w:pPr>
              <w:pStyle w:val="Normal"/>
              <w:widowControl/>
              <w:numPr>
                <w:ilvl w:val="1"/>
                <w:numId w:val="4"/>
              </w:numPr>
              <w:tabs>
                <w:tab w:val="clear" w:pos="708"/>
                <w:tab w:val="left" w:pos="0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Более часа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numPr>
                <w:ilvl w:val="1"/>
                <w:numId w:val="5"/>
              </w:numPr>
              <w:tabs>
                <w:tab w:val="clear" w:pos="708"/>
                <w:tab w:val="left" w:pos="-1843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Доступно</w:t>
            </w:r>
          </w:p>
          <w:p>
            <w:pPr>
              <w:pStyle w:val="Normal"/>
              <w:widowControl/>
              <w:numPr>
                <w:ilvl w:val="1"/>
                <w:numId w:val="5"/>
              </w:numPr>
              <w:tabs>
                <w:tab w:val="clear" w:pos="708"/>
                <w:tab w:val="left" w:pos="-1843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Частично доступно</w:t>
            </w:r>
          </w:p>
          <w:p>
            <w:pPr>
              <w:pStyle w:val="Normal"/>
              <w:widowControl/>
              <w:numPr>
                <w:ilvl w:val="1"/>
                <w:numId w:val="5"/>
              </w:numPr>
              <w:tabs>
                <w:tab w:val="clear" w:pos="708"/>
                <w:tab w:val="left" w:pos="-1843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Недоступно</w:t>
            </w:r>
          </w:p>
        </w:tc>
      </w:tr>
      <w:tr>
        <w:trPr/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sz w:val="24"/>
                <w:u w:val="single"/>
              </w:rPr>
            </w:r>
          </w:p>
          <w:p>
            <w:pPr>
              <w:pStyle w:val="Normal"/>
              <w:widowControl/>
              <w:numPr>
                <w:ilvl w:val="0"/>
                <w:numId w:val="10"/>
              </w:numPr>
              <w:suppressAutoHyphens w:val="true"/>
              <w:spacing w:before="0" w:after="0"/>
              <w:ind w:firstLine="709" w:left="0"/>
              <w:jc w:val="both"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kern w:val="0"/>
                <w:sz w:val="24"/>
                <w:u w:val="single"/>
                <w:lang w:val="ru-RU" w:bidi="ar-SA"/>
              </w:rPr>
              <w:t>Оценка работы сотрудников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numPr>
                <w:ilvl w:val="0"/>
                <w:numId w:val="12"/>
              </w:numPr>
              <w:suppressAutoHyphens w:val="true"/>
              <w:spacing w:before="0" w:after="0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kern w:val="0"/>
                <w:sz w:val="24"/>
                <w:lang w:val="ru-RU" w:bidi="ar-SA"/>
              </w:rPr>
              <w:t>Оцените вежливость и внимательность сотрудника: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numPr>
                <w:ilvl w:val="0"/>
                <w:numId w:val="12"/>
              </w:numPr>
              <w:suppressAutoHyphens w:val="true"/>
              <w:spacing w:before="0" w:after="0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kern w:val="0"/>
                <w:sz w:val="24"/>
                <w:lang w:val="ru-RU" w:bidi="ar-SA"/>
              </w:rPr>
              <w:t>Были получены исчерпывающие ответы на все вопросы?</w:t>
            </w:r>
          </w:p>
        </w:tc>
      </w:tr>
      <w:tr>
        <w:trPr/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numPr>
                <w:ilvl w:val="1"/>
                <w:numId w:val="6"/>
              </w:numPr>
              <w:tabs>
                <w:tab w:val="clear" w:pos="708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Отлично</w:t>
            </w:r>
          </w:p>
          <w:p>
            <w:pPr>
              <w:pStyle w:val="Normal"/>
              <w:widowControl/>
              <w:numPr>
                <w:ilvl w:val="1"/>
                <w:numId w:val="6"/>
              </w:numPr>
              <w:tabs>
                <w:tab w:val="clear" w:pos="708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Хорошо</w:t>
            </w:r>
          </w:p>
          <w:p>
            <w:pPr>
              <w:pStyle w:val="Normal"/>
              <w:widowControl/>
              <w:numPr>
                <w:ilvl w:val="1"/>
                <w:numId w:val="6"/>
              </w:numPr>
              <w:tabs>
                <w:tab w:val="clear" w:pos="708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Удовлетворительно</w:t>
            </w:r>
          </w:p>
          <w:p>
            <w:pPr>
              <w:pStyle w:val="Normal"/>
              <w:widowControl/>
              <w:numPr>
                <w:ilvl w:val="1"/>
                <w:numId w:val="6"/>
              </w:numPr>
              <w:tabs>
                <w:tab w:val="clear" w:pos="708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Неудовлетворительно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numPr>
                <w:ilvl w:val="1"/>
                <w:numId w:val="7"/>
              </w:numPr>
              <w:tabs>
                <w:tab w:val="clear" w:pos="708"/>
                <w:tab w:val="left" w:pos="177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Да</w:t>
            </w:r>
          </w:p>
          <w:p>
            <w:pPr>
              <w:pStyle w:val="Normal"/>
              <w:widowControl/>
              <w:numPr>
                <w:ilvl w:val="1"/>
                <w:numId w:val="7"/>
              </w:numPr>
              <w:tabs>
                <w:tab w:val="clear" w:pos="708"/>
                <w:tab w:val="left" w:pos="177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Частично</w:t>
            </w:r>
          </w:p>
          <w:p>
            <w:pPr>
              <w:pStyle w:val="Normal"/>
              <w:widowControl/>
              <w:numPr>
                <w:ilvl w:val="1"/>
                <w:numId w:val="7"/>
              </w:numPr>
              <w:tabs>
                <w:tab w:val="clear" w:pos="708"/>
                <w:tab w:val="left" w:pos="177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Нет</w:t>
            </w:r>
          </w:p>
        </w:tc>
      </w:tr>
      <w:tr>
        <w:trPr>
          <w:trHeight w:val="639" w:hRule="atLeast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</w:r>
          </w:p>
          <w:p>
            <w:pPr>
              <w:pStyle w:val="Normal"/>
              <w:widowControl/>
              <w:numPr>
                <w:ilvl w:val="0"/>
                <w:numId w:val="10"/>
              </w:numPr>
              <w:suppressAutoHyphens w:val="true"/>
              <w:spacing w:before="0" w:after="0"/>
              <w:ind w:firstLine="709" w:left="0"/>
              <w:jc w:val="both"/>
              <w:rPr>
                <w:b/>
                <w:bCs/>
                <w:sz w:val="24"/>
                <w:u w:val="single"/>
              </w:rPr>
            </w:pPr>
            <w:r>
              <w:rPr>
                <w:b/>
                <w:bCs/>
                <w:kern w:val="0"/>
                <w:sz w:val="24"/>
                <w:u w:val="single"/>
                <w:lang w:val="ru-RU" w:bidi="ar-SA"/>
              </w:rPr>
              <w:t>Оценка результата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/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numPr>
                <w:ilvl w:val="0"/>
                <w:numId w:val="13"/>
              </w:numPr>
              <w:suppressAutoHyphens w:val="true"/>
              <w:spacing w:before="0" w:after="0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kern w:val="0"/>
                <w:sz w:val="24"/>
                <w:lang w:val="ru-RU" w:bidi="ar-SA"/>
              </w:rPr>
              <w:t>Удовлетворены ли Вы результатом получения услуги?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numPr>
                <w:ilvl w:val="0"/>
                <w:numId w:val="13"/>
              </w:numPr>
              <w:suppressAutoHyphens w:val="true"/>
              <w:spacing w:before="0" w:after="0"/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kern w:val="0"/>
                <w:sz w:val="24"/>
                <w:lang w:val="ru-RU" w:bidi="ar-SA"/>
              </w:rPr>
              <w:t>Оцените скорость получения услуги: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</w:r>
          </w:p>
        </w:tc>
      </w:tr>
      <w:tr>
        <w:trPr/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numPr>
                <w:ilvl w:val="1"/>
                <w:numId w:val="8"/>
              </w:numPr>
              <w:tabs>
                <w:tab w:val="clear" w:pos="708"/>
                <w:tab w:val="left" w:pos="-284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Полностью удовлетворен</w:t>
            </w:r>
          </w:p>
          <w:p>
            <w:pPr>
              <w:pStyle w:val="Normal"/>
              <w:widowControl/>
              <w:numPr>
                <w:ilvl w:val="1"/>
                <w:numId w:val="8"/>
              </w:numPr>
              <w:tabs>
                <w:tab w:val="clear" w:pos="708"/>
                <w:tab w:val="left" w:pos="-284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 основном удовлетворен</w:t>
            </w:r>
          </w:p>
          <w:p>
            <w:pPr>
              <w:pStyle w:val="Normal"/>
              <w:widowControl/>
              <w:numPr>
                <w:ilvl w:val="1"/>
                <w:numId w:val="8"/>
              </w:numPr>
              <w:tabs>
                <w:tab w:val="clear" w:pos="708"/>
                <w:tab w:val="left" w:pos="-284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Частично удовлетворен</w:t>
            </w:r>
          </w:p>
          <w:p>
            <w:pPr>
              <w:pStyle w:val="Normal"/>
              <w:widowControl/>
              <w:numPr>
                <w:ilvl w:val="1"/>
                <w:numId w:val="8"/>
              </w:numPr>
              <w:tabs>
                <w:tab w:val="clear" w:pos="708"/>
                <w:tab w:val="left" w:pos="-284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Не удовлетворен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/>
              <w:numPr>
                <w:ilvl w:val="1"/>
                <w:numId w:val="9"/>
              </w:numPr>
              <w:tabs>
                <w:tab w:val="clear" w:pos="708"/>
                <w:tab w:val="left" w:pos="177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 срок</w:t>
            </w:r>
          </w:p>
          <w:p>
            <w:pPr>
              <w:pStyle w:val="Normal"/>
              <w:widowControl/>
              <w:numPr>
                <w:ilvl w:val="1"/>
                <w:numId w:val="9"/>
              </w:numPr>
              <w:tabs>
                <w:tab w:val="clear" w:pos="708"/>
                <w:tab w:val="left" w:pos="177" w:leader="none"/>
              </w:tabs>
              <w:suppressAutoHyphens w:val="true"/>
              <w:spacing w:before="0" w:after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Значительно позже срока</w:t>
            </w:r>
          </w:p>
        </w:tc>
      </w:tr>
    </w:tbl>
    <w:p>
      <w:pPr>
        <w:pStyle w:val="Normal"/>
        <w:jc w:val="both"/>
        <w:rPr>
          <w:sz w:val="24"/>
        </w:rPr>
      </w:pPr>
      <w:r>
        <w:rPr>
          <w:sz w:val="24"/>
        </w:rPr>
      </w:r>
    </w:p>
    <w:p>
      <w:pPr>
        <w:pStyle w:val="ListParagraph"/>
        <w:numPr>
          <w:ilvl w:val="0"/>
          <w:numId w:val="10"/>
        </w:numPr>
        <w:shd w:val="clear" w:color="auto" w:fill="FCFCFC"/>
        <w:ind w:firstLine="709" w:left="0" w:right="-1"/>
        <w:rPr>
          <w:rFonts w:eastAsia="Arial Unicode MS"/>
          <w:b/>
          <w:sz w:val="24"/>
        </w:rPr>
      </w:pPr>
      <w:r>
        <w:rPr>
          <w:rFonts w:eastAsia="Arial Unicode MS"/>
          <w:b/>
          <w:sz w:val="24"/>
        </w:rPr>
        <w:t>Предложения и замечания по улучшению качества оказания услуг:</w:t>
      </w:r>
    </w:p>
    <w:p>
      <w:pPr>
        <w:pStyle w:val="Normal"/>
        <w:shd w:val="clear" w:color="auto" w:fill="FCFCFC"/>
        <w:ind w:right="-1"/>
        <w:rPr>
          <w:rFonts w:eastAsia="Arial Unicode MS"/>
          <w:sz w:val="24"/>
        </w:rPr>
      </w:pPr>
      <w:r>
        <w:rPr>
          <w:rFonts w:eastAsia="Arial Unicode MS"/>
          <w:sz w:val="24"/>
        </w:rPr>
        <w:t>__________________________________________________________________________________________________________________________________________________________</w:t>
      </w:r>
    </w:p>
    <w:p>
      <w:pPr>
        <w:pStyle w:val="Normal"/>
        <w:ind w:left="5954"/>
        <w:rPr>
          <w:rFonts w:eastAsia="Arial Unicode MS"/>
          <w:sz w:val="24"/>
        </w:rPr>
      </w:pPr>
      <w:r>
        <w:rPr>
          <w:rFonts w:eastAsia="Arial Unicode MS"/>
          <w:sz w:val="24"/>
        </w:rPr>
      </w:r>
    </w:p>
    <w:p>
      <w:pPr>
        <w:pStyle w:val="Normal"/>
        <w:ind w:left="5954"/>
        <w:rPr>
          <w:rFonts w:eastAsia="Arial Unicode MS"/>
          <w:sz w:val="24"/>
        </w:rPr>
      </w:pPr>
      <w:r>
        <w:rPr>
          <w:rFonts w:eastAsia="Arial Unicode MS"/>
          <w:sz w:val="24"/>
        </w:rPr>
      </w:r>
    </w:p>
    <w:p>
      <w:pPr>
        <w:pStyle w:val="Normal"/>
        <w:ind w:left="5954"/>
        <w:rPr>
          <w:rFonts w:eastAsia="Arial Unicode MS"/>
          <w:sz w:val="24"/>
        </w:rPr>
      </w:pPr>
      <w:r>
        <w:rPr>
          <w:rFonts w:eastAsia="Arial Unicode MS"/>
          <w:sz w:val="24"/>
        </w:rPr>
      </w:r>
    </w:p>
    <w:p>
      <w:pPr>
        <w:pStyle w:val="Normal"/>
        <w:ind w:left="5954"/>
        <w:rPr>
          <w:rFonts w:eastAsia="Arial Unicode MS"/>
          <w:sz w:val="24"/>
        </w:rPr>
      </w:pPr>
      <w:r>
        <w:rPr>
          <w:rFonts w:eastAsia="Arial Unicode MS"/>
          <w:sz w:val="24"/>
        </w:rPr>
      </w:r>
    </w:p>
    <w:p>
      <w:pPr>
        <w:pStyle w:val="Normal"/>
        <w:ind w:left="5954"/>
        <w:rPr>
          <w:rFonts w:eastAsia="Arial Unicode MS"/>
          <w:sz w:val="24"/>
        </w:rPr>
      </w:pPr>
      <w:r>
        <w:rPr>
          <w:rFonts w:eastAsia="Arial Unicode MS"/>
          <w:sz w:val="24"/>
        </w:rPr>
      </w:r>
    </w:p>
    <w:p>
      <w:pPr>
        <w:pStyle w:val="Normal"/>
        <w:ind w:left="5954"/>
        <w:rPr>
          <w:rFonts w:eastAsia="Arial Unicode MS"/>
          <w:sz w:val="24"/>
        </w:rPr>
      </w:pPr>
      <w:r>
        <w:rPr>
          <w:rFonts w:eastAsia="Arial Unicode MS"/>
          <w:sz w:val="24"/>
        </w:rPr>
      </w:r>
    </w:p>
    <w:p>
      <w:pPr>
        <w:pStyle w:val="Normal"/>
        <w:ind w:left="5954"/>
        <w:rPr>
          <w:rFonts w:eastAsia="Arial Unicode MS"/>
          <w:sz w:val="24"/>
        </w:rPr>
      </w:pPr>
      <w:r>
        <w:rPr>
          <w:rFonts w:eastAsia="Arial Unicode MS"/>
          <w:sz w:val="24"/>
        </w:rPr>
      </w:r>
    </w:p>
    <w:p>
      <w:pPr>
        <w:pStyle w:val="Normal"/>
        <w:ind w:left="5954"/>
        <w:rPr>
          <w:rFonts w:eastAsia="Arial Unicode MS"/>
          <w:sz w:val="24"/>
        </w:rPr>
      </w:pPr>
      <w:r>
        <w:rPr>
          <w:rFonts w:eastAsia="Arial Unicode MS"/>
          <w:sz w:val="24"/>
        </w:rPr>
      </w:r>
    </w:p>
    <w:p>
      <w:pPr>
        <w:pStyle w:val="Normal"/>
        <w:ind w:left="5954"/>
        <w:rPr>
          <w:rFonts w:eastAsia="Arial Unicode MS"/>
          <w:sz w:val="24"/>
        </w:rPr>
      </w:pPr>
      <w:r>
        <w:rPr>
          <w:rFonts w:eastAsia="Arial Unicode MS"/>
          <w:sz w:val="24"/>
        </w:rPr>
      </w:r>
    </w:p>
    <w:p>
      <w:pPr>
        <w:pStyle w:val="Normal"/>
        <w:ind w:left="5954"/>
        <w:rPr>
          <w:rFonts w:eastAsia="Arial Unicode MS"/>
          <w:sz w:val="24"/>
        </w:rPr>
      </w:pPr>
      <w:r>
        <w:rPr>
          <w:rFonts w:eastAsia="Arial Unicode MS"/>
          <w:sz w:val="24"/>
        </w:rPr>
      </w:r>
    </w:p>
    <w:p>
      <w:pPr>
        <w:pStyle w:val="Normal"/>
        <w:ind w:left="5954"/>
        <w:rPr>
          <w:sz w:val="24"/>
        </w:rPr>
      </w:pPr>
      <w:r>
        <w:rPr>
          <w:bCs/>
          <w:sz w:val="24"/>
        </w:rPr>
        <w:t>Приложение 2</w:t>
      </w:r>
    </w:p>
    <w:p>
      <w:pPr>
        <w:pStyle w:val="Normal"/>
        <w:tabs>
          <w:tab w:val="clear" w:pos="708"/>
          <w:tab w:val="left" w:pos="5812" w:leader="none"/>
        </w:tabs>
        <w:ind w:left="5954"/>
        <w:jc w:val="both"/>
        <w:rPr>
          <w:bCs/>
          <w:sz w:val="24"/>
        </w:rPr>
      </w:pPr>
      <w:r>
        <w:rPr>
          <w:bCs/>
          <w:sz w:val="24"/>
        </w:rPr>
        <w:t>к Порядку изучения мнения населения о качестве оказания муниципальных услуг</w:t>
      </w:r>
    </w:p>
    <w:p>
      <w:pPr>
        <w:pStyle w:val="Normal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Соответствие результатов ответа бальной оценке уровня удовлетворенности граждан качеством предоставления муниципальных услуг</w:t>
      </w:r>
    </w:p>
    <w:p>
      <w:pPr>
        <w:pStyle w:val="Normal"/>
        <w:rPr>
          <w:szCs w:val="28"/>
        </w:rPr>
      </w:pPr>
      <w:r>
        <w:rPr>
          <w:szCs w:val="28"/>
        </w:rPr>
      </w:r>
    </w:p>
    <w:tbl>
      <w:tblPr>
        <w:tblStyle w:val="a5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84"/>
        <w:gridCol w:w="3855"/>
        <w:gridCol w:w="2931"/>
        <w:gridCol w:w="2200"/>
      </w:tblGrid>
      <w:tr>
        <w:trPr>
          <w:trHeight w:val="340" w:hRule="atLeast"/>
        </w:trPr>
        <w:tc>
          <w:tcPr>
            <w:tcW w:w="58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 xml:space="preserve">№ </w:t>
            </w:r>
            <w:r>
              <w:rPr>
                <w:kern w:val="0"/>
                <w:sz w:val="24"/>
                <w:lang w:val="ru-RU" w:bidi="ar-SA"/>
              </w:rPr>
              <w:t>п/п</w:t>
            </w:r>
          </w:p>
        </w:tc>
        <w:tc>
          <w:tcPr>
            <w:tcW w:w="385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Наименование вопроса</w:t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Варианты ответов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Оценка уровня удовлетворенности граждан качеством предоставления муниципальных услуг (баллы)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</w:t>
            </w:r>
          </w:p>
        </w:tc>
        <w:tc>
          <w:tcPr>
            <w:tcW w:w="3855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Unicode MS"/>
                <w:bCs/>
                <w:kern w:val="0"/>
                <w:sz w:val="24"/>
                <w:lang w:val="ru-RU" w:bidi="ar-SA"/>
              </w:rPr>
              <w:t>Как долго Вы ожидали приема?</w:t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hd w:val="clear" w:color="auto" w:fill="FCFCFC"/>
              <w:tabs>
                <w:tab w:val="clear" w:pos="708"/>
                <w:tab w:val="left" w:pos="1440" w:leader="none"/>
              </w:tabs>
              <w:suppressAutoHyphens w:val="true"/>
              <w:spacing w:before="0" w:after="0"/>
              <w:jc w:val="lef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Менее 15 минут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85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hd w:val="clear" w:color="auto" w:fill="FCFCFC"/>
              <w:tabs>
                <w:tab w:val="clear" w:pos="708"/>
                <w:tab w:val="left" w:pos="1440" w:leader="none"/>
              </w:tabs>
              <w:suppressAutoHyphens w:val="true"/>
              <w:spacing w:before="0" w:after="0"/>
              <w:jc w:val="lef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15-30 минут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0,50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85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hd w:val="clear" w:color="auto" w:fill="FCFCFC"/>
              <w:tabs>
                <w:tab w:val="clear" w:pos="708"/>
                <w:tab w:val="left" w:pos="1440" w:leader="none"/>
              </w:tabs>
              <w:suppressAutoHyphens w:val="true"/>
              <w:spacing w:before="0" w:after="0"/>
              <w:jc w:val="lef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30-60 минут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0,25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85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Более часа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0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2</w:t>
            </w:r>
          </w:p>
        </w:tc>
        <w:tc>
          <w:tcPr>
            <w:tcW w:w="3855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Оцените доступность информации о порядке получения услуги</w:t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1440" w:leader="none"/>
              </w:tabs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Доступно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85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1440" w:leader="none"/>
              </w:tabs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Частично доступно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0,50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85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Недоступно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0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3</w:t>
            </w:r>
          </w:p>
        </w:tc>
        <w:tc>
          <w:tcPr>
            <w:tcW w:w="3855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Оцените вежливость и внимательность сотрудника</w:t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hd w:val="clear" w:color="auto" w:fill="FCFCFC"/>
              <w:suppressAutoHyphens w:val="true"/>
              <w:spacing w:before="0" w:after="0"/>
              <w:jc w:val="lef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Отлично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85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hd w:val="clear" w:color="auto" w:fill="FCFCFC"/>
              <w:suppressAutoHyphens w:val="true"/>
              <w:spacing w:before="0" w:after="0"/>
              <w:jc w:val="lef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Хорошо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0,75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85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hd w:val="clear" w:color="auto" w:fill="FCFCFC"/>
              <w:suppressAutoHyphens w:val="true"/>
              <w:spacing w:before="0" w:after="0"/>
              <w:jc w:val="lef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Удовлетворительно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0,25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85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Неудовлетворительно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0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4</w:t>
            </w:r>
          </w:p>
        </w:tc>
        <w:tc>
          <w:tcPr>
            <w:tcW w:w="3855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Были получены исчерпывающие ответы на все вопросы?</w:t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hd w:val="clear" w:color="auto" w:fill="FCFCFC"/>
              <w:tabs>
                <w:tab w:val="clear" w:pos="708"/>
                <w:tab w:val="left" w:pos="1440" w:leader="none"/>
              </w:tabs>
              <w:suppressAutoHyphens w:val="true"/>
              <w:spacing w:before="0" w:after="0"/>
              <w:jc w:val="lef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Да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85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hd w:val="clear" w:color="auto" w:fill="FCFCFC"/>
              <w:tabs>
                <w:tab w:val="clear" w:pos="708"/>
                <w:tab w:val="left" w:pos="1440" w:leader="none"/>
              </w:tabs>
              <w:suppressAutoHyphens w:val="true"/>
              <w:spacing w:before="0" w:after="0"/>
              <w:jc w:val="lef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Частично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0,50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85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hd w:val="clear" w:color="auto" w:fill="FCFCFC"/>
              <w:tabs>
                <w:tab w:val="clear" w:pos="708"/>
                <w:tab w:val="left" w:pos="1440" w:leader="none"/>
              </w:tabs>
              <w:suppressAutoHyphens w:val="true"/>
              <w:spacing w:before="0" w:after="0"/>
              <w:jc w:val="lef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Нет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0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5</w:t>
            </w:r>
          </w:p>
        </w:tc>
        <w:tc>
          <w:tcPr>
            <w:tcW w:w="3855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bCs/>
                <w:kern w:val="0"/>
                <w:sz w:val="24"/>
                <w:lang w:val="ru-RU" w:bidi="ar-SA"/>
              </w:rPr>
              <w:t>Удовлетворены ли Вы результатом получения услуги?</w:t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hd w:val="clear" w:color="auto" w:fill="FCFCFC"/>
              <w:tabs>
                <w:tab w:val="clear" w:pos="708"/>
                <w:tab w:val="left" w:pos="1440" w:leader="none"/>
              </w:tabs>
              <w:suppressAutoHyphens w:val="true"/>
              <w:spacing w:before="0" w:after="0"/>
              <w:jc w:val="lef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Полностью удовлетворен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85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hd w:val="clear" w:color="auto" w:fill="FCFCFC"/>
              <w:tabs>
                <w:tab w:val="clear" w:pos="708"/>
                <w:tab w:val="left" w:pos="1440" w:leader="none"/>
              </w:tabs>
              <w:suppressAutoHyphens w:val="true"/>
              <w:spacing w:before="0" w:after="0"/>
              <w:jc w:val="lef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В основном удовлетворен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0,75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85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hd w:val="clear" w:color="auto" w:fill="FCFCFC"/>
              <w:tabs>
                <w:tab w:val="clear" w:pos="708"/>
                <w:tab w:val="left" w:pos="1440" w:leader="none"/>
              </w:tabs>
              <w:suppressAutoHyphens w:val="true"/>
              <w:spacing w:before="0" w:after="0"/>
              <w:jc w:val="lef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Частично удовлетворен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0,50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85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Не удовлетворен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0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6</w:t>
            </w:r>
          </w:p>
        </w:tc>
        <w:tc>
          <w:tcPr>
            <w:tcW w:w="3855" w:type="dxa"/>
            <w:vMerge w:val="restart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Оцените скорость получения услуги</w:t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hd w:val="clear" w:color="auto" w:fill="FCFCFC"/>
              <w:suppressAutoHyphens w:val="true"/>
              <w:spacing w:before="0" w:after="0"/>
              <w:jc w:val="left"/>
              <w:rPr>
                <w:rFonts w:eastAsia="Arial Unicode MS"/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В срок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1</w:t>
            </w:r>
          </w:p>
        </w:tc>
      </w:tr>
      <w:tr>
        <w:trPr>
          <w:trHeight w:val="340" w:hRule="atLeast"/>
        </w:trPr>
        <w:tc>
          <w:tcPr>
            <w:tcW w:w="584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3855" w:type="dxa"/>
            <w:vMerge w:val="continue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2931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rFonts w:eastAsia="Arial Unicode MS"/>
                <w:kern w:val="0"/>
                <w:sz w:val="24"/>
                <w:lang w:val="ru-RU" w:bidi="ar-SA"/>
              </w:rPr>
              <w:t>Значительно позже срока</w:t>
            </w:r>
          </w:p>
        </w:tc>
        <w:tc>
          <w:tcPr>
            <w:tcW w:w="2200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0</w:t>
            </w:r>
          </w:p>
        </w:tc>
      </w:tr>
      <w:tr>
        <w:trPr>
          <w:trHeight w:val="340" w:hRule="atLeast"/>
        </w:trPr>
        <w:tc>
          <w:tcPr>
            <w:tcW w:w="584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7</w:t>
            </w:r>
          </w:p>
        </w:tc>
        <w:tc>
          <w:tcPr>
            <w:tcW w:w="3855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Что можно улучшить в процессе получения услуги?</w:t>
            </w:r>
          </w:p>
        </w:tc>
        <w:tc>
          <w:tcPr>
            <w:tcW w:w="5131" w:type="dxa"/>
            <w:gridSpan w:val="2"/>
            <w:tcBorders/>
          </w:tcPr>
          <w:p>
            <w:pPr>
              <w:pStyle w:val="Normal"/>
              <w:widowControl/>
              <w:tabs>
                <w:tab w:val="clear" w:pos="708"/>
                <w:tab w:val="left" w:pos="1823" w:leader="none"/>
              </w:tabs>
              <w:suppressAutoHyphens w:val="true"/>
              <w:spacing w:before="0" w:after="0"/>
              <w:jc w:val="center"/>
              <w:rPr>
                <w:sz w:val="24"/>
              </w:rPr>
            </w:pPr>
            <w:r>
              <w:rPr>
                <w:kern w:val="0"/>
                <w:sz w:val="24"/>
                <w:lang w:val="ru-RU" w:bidi="ar-SA"/>
              </w:rPr>
              <w:t>Для данного вопроса бальная оценка не применяется</w:t>
            </w:r>
          </w:p>
        </w:tc>
      </w:tr>
    </w:tbl>
    <w:p>
      <w:pPr>
        <w:sectPr>
          <w:type w:val="nextPage"/>
          <w:pgSz w:w="11906" w:h="16838"/>
          <w:pgMar w:left="1701" w:right="850" w:gutter="0" w:header="0" w:top="1134" w:footer="0" w:bottom="709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ind w:left="10490"/>
        <w:rPr>
          <w:sz w:val="24"/>
        </w:rPr>
      </w:pPr>
      <w:r>
        <w:rPr>
          <w:bCs/>
          <w:sz w:val="24"/>
        </w:rPr>
        <w:t>Приложение 3</w:t>
      </w:r>
    </w:p>
    <w:p>
      <w:pPr>
        <w:pStyle w:val="Normal"/>
        <w:tabs>
          <w:tab w:val="clear" w:pos="708"/>
          <w:tab w:val="left" w:pos="5812" w:leader="none"/>
        </w:tabs>
        <w:ind w:left="10490"/>
        <w:jc w:val="both"/>
        <w:rPr>
          <w:bCs/>
          <w:sz w:val="24"/>
        </w:rPr>
      </w:pPr>
      <w:r>
        <w:rPr>
          <w:bCs/>
          <w:sz w:val="24"/>
        </w:rPr>
        <w:t>к Порядку изучения мнения населения о качестве оказания муниципальных услуг</w:t>
      </w:r>
    </w:p>
    <w:p>
      <w:pPr>
        <w:pStyle w:val="Normal"/>
        <w:ind w:left="10490"/>
        <w:jc w:val="both"/>
        <w:rPr>
          <w:sz w:val="24"/>
        </w:rPr>
      </w:pPr>
      <w:r>
        <w:rPr>
          <w:sz w:val="24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Сводная форма ответов респондентов</w:t>
      </w:r>
    </w:p>
    <w:p>
      <w:pPr>
        <w:pStyle w:val="Normal"/>
        <w:jc w:val="both"/>
        <w:rPr>
          <w:sz w:val="24"/>
        </w:rPr>
      </w:pPr>
      <w:r>
        <w:rPr>
          <w:sz w:val="24"/>
        </w:rPr>
      </w:r>
    </w:p>
    <w:tbl>
      <w:tblPr>
        <w:tblW w:w="15610" w:type="dxa"/>
        <w:jc w:val="left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  <w:tblLook w:val="0000" w:noHBand="0" w:noVBand="0" w:firstColumn="0" w:lastRow="0" w:lastColumn="0" w:firstRow="0"/>
      </w:tblPr>
      <w:tblGrid>
        <w:gridCol w:w="2464"/>
        <w:gridCol w:w="1252"/>
        <w:gridCol w:w="1416"/>
        <w:gridCol w:w="1419"/>
        <w:gridCol w:w="1416"/>
        <w:gridCol w:w="1278"/>
        <w:gridCol w:w="1416"/>
        <w:gridCol w:w="1848"/>
        <w:gridCol w:w="3099"/>
      </w:tblGrid>
      <w:tr>
        <w:trPr>
          <w:trHeight w:val="836" w:hRule="atLeast"/>
        </w:trPr>
        <w:tc>
          <w:tcPr>
            <w:tcW w:w="1560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  <w:t>Наименование муниципальной услуги: ___________________________________________________________________________________</w:t>
            </w:r>
          </w:p>
        </w:tc>
      </w:tr>
      <w:tr>
        <w:trPr>
          <w:trHeight w:val="1349" w:hRule="atLeast"/>
        </w:trPr>
        <w:tc>
          <w:tcPr>
            <w:tcW w:w="246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  <w:t>Номер респондента – заявителя (получателя) муниципальных услуг</w:t>
            </w:r>
          </w:p>
        </w:tc>
        <w:tc>
          <w:tcPr>
            <w:tcW w:w="8197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  <w:t>Оценка уровня удовлетворенности граждан качеством предоставления муниципальных услуг по каждому вопросу анкеты</w:t>
            </w:r>
          </w:p>
          <w:p>
            <w:pPr>
              <w:pStyle w:val="Normal"/>
              <w:jc w:val="center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  <w:t>(баллы)</w:t>
            </w:r>
          </w:p>
        </w:tc>
        <w:tc>
          <w:tcPr>
            <w:tcW w:w="184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  <w:t>Сумма баллов отдельного респондента</w:t>
            </w:r>
          </w:p>
          <w:p>
            <w:pPr>
              <w:pStyle w:val="Normal"/>
              <w:jc w:val="center"/>
              <w:rPr>
                <w:rFonts w:eastAsia="Calibri" w:eastAsiaTheme="minorHAnsi"/>
                <w:bCs/>
                <w:color w:val="000000"/>
                <w:sz w:val="24"/>
                <w:lang w:val="en-US" w:eastAsia="en-US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w:rPr>
                        <w:rFonts w:ascii="Cambria Math" w:hAnsi="Cambria Math"/>
                      </w:rPr>
                      <m:t xml:space="preserve">x</m:t>
                    </m:r>
                  </m:e>
                  <m:sub>
                    <m:d>
                      <m:dPr>
                        <m:begChr m:val="("/>
                        <m:endChr m:val=")"/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отд</m:t>
                        </m:r>
                        <m:r>
                          <w:rPr>
                            <w:rFonts w:ascii="Cambria Math" w:hAnsi="Cambria Math"/>
                          </w:rPr>
                          <m:t xml:space="preserve">.</m:t>
                        </m:r>
                        <m:r>
                          <w:rPr>
                            <w:rFonts w:ascii="Cambria Math" w:hAnsi="Cambria Math"/>
                          </w:rPr>
                          <m:t xml:space="preserve">n</m:t>
                        </m:r>
                      </m:e>
                    </m:d>
                  </m:sub>
                </m:sSub>
              </m:oMath>
            </m:oMathPara>
          </w:p>
        </w:tc>
        <w:tc>
          <w:tcPr>
            <w:tcW w:w="3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  <w:t>Уровень удовлетворенности отдельного респондента</w:t>
            </w:r>
          </w:p>
          <w:p>
            <w:pPr>
              <w:pStyle w:val="Normal"/>
              <w:jc w:val="center"/>
              <w:rPr>
                <w:rFonts w:eastAsia="Calibri" w:eastAsiaTheme="minorHAnsi"/>
                <w:bCs/>
                <w:color w:val="000000"/>
                <w:sz w:val="24"/>
                <w:lang w:val="en-US" w:eastAsia="en-US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w:rPr>
                        <w:rFonts w:ascii="Cambria Math" w:hAnsi="Cambria Math"/>
                      </w:rPr>
                      <m:t xml:space="preserve">Уд</m:t>
                    </m:r>
                  </m:e>
                  <m:sub>
                    <m:d>
                      <m:dPr>
                        <m:begChr m:val="("/>
                        <m:endChr m:val=")"/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отд</m:t>
                        </m:r>
                        <m:r>
                          <w:rPr>
                            <w:rFonts w:ascii="Cambria Math" w:hAnsi="Cambria Math"/>
                          </w:rPr>
                          <m:t xml:space="preserve">.</m:t>
                        </m:r>
                        <m:r>
                          <w:rPr>
                            <w:rFonts w:ascii="Cambria Math" w:hAnsi="Cambria Math"/>
                          </w:rPr>
                          <m:t xml:space="preserve">n</m:t>
                        </m:r>
                      </m:e>
                    </m:d>
                  </m:sub>
                </m:sSub>
              </m:oMath>
            </m:oMathPara>
          </w:p>
        </w:tc>
      </w:tr>
      <w:tr>
        <w:trPr>
          <w:trHeight w:val="305" w:hRule="atLeast"/>
        </w:trPr>
        <w:tc>
          <w:tcPr>
            <w:tcW w:w="246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  <w:t>1 вопрос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  <w:t>2 вопрос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  <w:t>3 вопрос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  <w:t>4 вопрос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  <w:t>5 вопрос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  <w:t>6 вопрос</w:t>
            </w:r>
          </w:p>
        </w:tc>
        <w:tc>
          <w:tcPr>
            <w:tcW w:w="18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r>
          </w:p>
        </w:tc>
        <w:tc>
          <w:tcPr>
            <w:tcW w:w="309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r>
          </w:p>
        </w:tc>
      </w:tr>
      <w:tr>
        <w:trPr>
          <w:trHeight w:val="702" w:hRule="atLeast"/>
        </w:trPr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t>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3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w:rPr>
                        <w:rFonts w:ascii="Cambria Math" w:hAnsi="Cambria Math"/>
                      </w:rPr>
                      <m:t xml:space="preserve">Уд</m:t>
                    </m:r>
                  </m:e>
                  <m:sub>
                    <m:d>
                      <m:dPr>
                        <m:begChr m:val="("/>
                        <m:endChr m:val=")"/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отд</m:t>
                        </m:r>
                        <m:r>
                          <w:rPr>
                            <w:rFonts w:ascii="Cambria Math" w:hAnsi="Cambria Math"/>
                          </w:rPr>
                          <m:t xml:space="preserve">.</m:t>
                        </m:r>
                        <m:r>
                          <w:rPr>
                            <w:rFonts w:ascii="Cambria Math" w:hAnsi="Cambria Math"/>
                          </w:rPr>
                          <m:t xml:space="preserve">n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</w:rPr>
                  <m:t xml:space="preserve">=</m:t>
                </m:r>
                <m:f>
                  <m:num>
                    <m:sSub>
                      <m:e>
                        <m:r>
                          <w:rPr>
                            <w:rFonts w:ascii="Cambria Math" w:hAnsi="Cambria Math"/>
                          </w:rPr>
                          <m:t xml:space="preserve">x</m:t>
                        </m:r>
                      </m:e>
                      <m:sub>
                        <m:d>
                          <m:dPr>
                            <m:begChr m:val="("/>
                            <m:endChr m:val=")"/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отд</m:t>
                            </m:r>
                            <m:r>
                              <w:rPr>
                                <w:rFonts w:ascii="Cambria Math" w:hAnsi="Cambria Math"/>
                              </w:rPr>
                              <m:t xml:space="preserve">.</m:t>
                            </m:r>
                            <m:r>
                              <w:rPr>
                                <w:rFonts w:ascii="Cambria Math" w:hAnsi="Cambria Math"/>
                              </w:rPr>
                              <m:t xml:space="preserve">n</m:t>
                            </m:r>
                          </m:e>
                        </m:d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 xml:space="preserve">6</m:t>
                    </m:r>
                  </m:den>
                </m:f>
              </m:oMath>
            </m:oMathPara>
          </w:p>
        </w:tc>
      </w:tr>
      <w:tr>
        <w:trPr>
          <w:trHeight w:val="305" w:hRule="atLeast"/>
        </w:trPr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t>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3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</w:tr>
      <w:tr>
        <w:trPr>
          <w:trHeight w:val="305" w:hRule="atLeast"/>
        </w:trPr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t>3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3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</w:tr>
      <w:tr>
        <w:trPr>
          <w:trHeight w:val="305" w:hRule="atLeast"/>
        </w:trPr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t>4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3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</w:tr>
      <w:tr>
        <w:trPr>
          <w:trHeight w:val="305" w:hRule="atLeast"/>
        </w:trPr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3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</w:tr>
      <w:tr>
        <w:trPr>
          <w:trHeight w:val="232" w:hRule="atLeast"/>
        </w:trPr>
        <w:tc>
          <w:tcPr>
            <w:tcW w:w="2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  <w:lang w:val="en-US"/>
              </w:rPr>
              <w:t>n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  <w:tc>
          <w:tcPr>
            <w:tcW w:w="3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color w:val="000000"/>
                <w:sz w:val="24"/>
                <w:lang w:eastAsia="en-US"/>
              </w:rPr>
            </w:r>
          </w:p>
        </w:tc>
      </w:tr>
      <w:tr>
        <w:trPr>
          <w:trHeight w:val="692" w:hRule="atLeast"/>
        </w:trPr>
        <w:tc>
          <w:tcPr>
            <w:tcW w:w="1250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right"/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  <w:t>Общий уровень удовлетворенности респондентов услугой (%)</w:t>
            </w:r>
          </w:p>
        </w:tc>
        <w:tc>
          <w:tcPr>
            <w:tcW w:w="3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 w:eastAsiaTheme="minorHAnsi"/>
                <w:i/>
                <w:i/>
                <w:color w:val="000000"/>
                <w:sz w:val="24"/>
                <w:lang w:eastAsia="en-US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w:rPr>
                        <w:rFonts w:ascii="Cambria Math" w:hAnsi="Cambria Math"/>
                      </w:rPr>
                      <m:t xml:space="preserve">Уд</m:t>
                    </m:r>
                  </m:e>
                  <m:sub>
                    <m:d>
                      <m:dPr>
                        <m:begChr m:val="("/>
                        <m:endChr m:val=")"/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общ</m:t>
                        </m:r>
                        <m:r>
                          <w:rPr>
                            <w:rFonts w:ascii="Cambria Math" w:hAnsi="Cambria Math"/>
                          </w:rPr>
                          <m:t xml:space="preserve">.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</w:rPr>
                  <m:t xml:space="preserve">=</m:t>
                </m:r>
                <m:f>
                  <m:num>
                    <m:nary>
                      <m:naryPr>
                        <m:chr m:val="∑"/>
                        <m:subHide m:val="1"/>
                        <m:supHide m:val="1"/>
                      </m:naryPr>
                      <m:sub/>
                      <m:sup/>
                      <m:e>
                        <m:sSub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Уд</m:t>
                            </m:r>
                          </m:e>
                          <m:sub>
                            <m:d>
                              <m:dPr>
                                <m:begChr m:val="("/>
                                <m:endChr m:val=")"/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отд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.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n</m:t>
                                </m:r>
                              </m:e>
                            </m:d>
                          </m:sub>
                        </m:sSub>
                      </m:e>
                    </m:nary>
                  </m:num>
                  <m:den>
                    <m:r>
                      <w:rPr>
                        <w:rFonts w:ascii="Cambria Math" w:hAnsi="Cambria Math"/>
                      </w:rPr>
                      <m:t xml:space="preserve">n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∗</m:t>
                </m:r>
                <m:r>
                  <w:rPr>
                    <w:rFonts w:ascii="Cambria Math" w:hAnsi="Cambria Math"/>
                  </w:rPr>
                  <m:t xml:space="preserve">100</m:t>
                </m:r>
              </m:oMath>
            </m:oMathPara>
          </w:p>
        </w:tc>
      </w:tr>
    </w:tbl>
    <w:p>
      <w:pPr>
        <w:pStyle w:val="Normal"/>
        <w:jc w:val="both"/>
        <w:rPr>
          <w:b/>
          <w:bCs/>
          <w:sz w:val="24"/>
        </w:rPr>
      </w:pPr>
      <w:r>
        <w:rPr>
          <w:b/>
          <w:bCs/>
          <w:sz w:val="24"/>
        </w:rPr>
      </w:r>
      <w:r>
        <w:br w:type="page"/>
      </w:r>
    </w:p>
    <w:p>
      <w:pPr>
        <w:pStyle w:val="Normal"/>
        <w:spacing w:before="0" w:after="0"/>
        <w:ind w:left="10490"/>
        <w:rPr>
          <w:sz w:val="24"/>
        </w:rPr>
      </w:pPr>
      <w:r>
        <w:rPr>
          <w:bCs/>
          <w:sz w:val="24"/>
        </w:rPr>
        <w:t>Приложение 4</w:t>
      </w:r>
    </w:p>
    <w:p>
      <w:pPr>
        <w:pStyle w:val="Normal"/>
        <w:tabs>
          <w:tab w:val="clear" w:pos="708"/>
          <w:tab w:val="left" w:pos="5812" w:leader="none"/>
        </w:tabs>
        <w:ind w:left="10490"/>
        <w:jc w:val="both"/>
        <w:rPr>
          <w:bCs/>
          <w:sz w:val="24"/>
        </w:rPr>
      </w:pPr>
      <w:r>
        <w:rPr>
          <w:bCs/>
          <w:sz w:val="24"/>
        </w:rPr>
        <w:t>к Порядку изучения мнения населения о качестве оказания муниципальных услуг</w:t>
      </w:r>
    </w:p>
    <w:p>
      <w:pPr>
        <w:pStyle w:val="Normal"/>
        <w:jc w:val="both"/>
        <w:rPr>
          <w:bCs/>
          <w:sz w:val="24"/>
        </w:rPr>
      </w:pPr>
      <w:r>
        <w:rPr>
          <w:bCs/>
          <w:sz w:val="24"/>
        </w:rPr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Уровень удовлетворенности граждан качеством предоставления муниципальных услуг</w:t>
      </w:r>
    </w:p>
    <w:p>
      <w:pPr>
        <w:pStyle w:val="Normal"/>
        <w:jc w:val="both"/>
        <w:rPr>
          <w:bCs/>
          <w:sz w:val="24"/>
        </w:rPr>
      </w:pPr>
      <w:r>
        <w:rPr>
          <w:bCs/>
          <w:sz w:val="24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236"/>
        <w:gridCol w:w="1882"/>
        <w:gridCol w:w="2594"/>
      </w:tblGrid>
      <w:tr>
        <w:trPr>
          <w:trHeight w:val="572" w:hRule="atLeast"/>
        </w:trPr>
        <w:tc>
          <w:tcPr>
            <w:tcW w:w="147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Период проведения опроса _________________________</w:t>
            </w:r>
          </w:p>
        </w:tc>
      </w:tr>
      <w:tr>
        <w:trPr>
          <w:trHeight w:val="900" w:hRule="atLeast"/>
        </w:trPr>
        <w:tc>
          <w:tcPr>
            <w:tcW w:w="10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Наименование муниципальной услуги</w:t>
            </w:r>
          </w:p>
        </w:tc>
        <w:tc>
          <w:tcPr>
            <w:tcW w:w="188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Количество опрошенных респондентов</w:t>
            </w:r>
          </w:p>
        </w:tc>
        <w:tc>
          <w:tcPr>
            <w:tcW w:w="259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Общий уровень удовлетворенности респондентов услугой</w:t>
            </w:r>
          </w:p>
          <w:p>
            <w:pPr>
              <w:pStyle w:val="Normal"/>
              <w:jc w:val="center"/>
              <w:rPr>
                <w:b/>
                <w:color w:val="000000"/>
                <w:sz w:val="24"/>
              </w:rPr>
            </w:pPr>
            <w:r>
              <w:rPr/>
            </w:r>
            <m:oMathPara xmlns:m="http://schemas.openxmlformats.org/officeDocument/2006/math">
              <m:oMathParaPr>
                <m:jc m:val="center"/>
              </m:oMathParaPr>
              <m:oMath>
                <m:sSub>
                  <m:e>
                    <m:r>
                      <w:rPr>
                        <w:rFonts w:ascii="Cambria Math" w:hAnsi="Cambria Math"/>
                      </w:rPr>
                      <m:t xml:space="preserve">Уд</m:t>
                    </m:r>
                  </m:e>
                  <m:sub>
                    <m:d>
                      <m:dPr>
                        <m:begChr m:val="("/>
                        <m:endChr m:val=")"/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общ</m:t>
                        </m:r>
                        <m:r>
                          <w:rPr>
                            <w:rFonts w:ascii="Cambria Math" w:hAnsi="Cambria Math"/>
                          </w:rPr>
                          <m:t xml:space="preserve">.</m:t>
                        </m:r>
                      </m:e>
                    </m:d>
                  </m:sub>
                </m:sSub>
              </m:oMath>
            </m:oMathPara>
          </w:p>
        </w:tc>
      </w:tr>
      <w:tr>
        <w:trPr>
          <w:trHeight w:val="300" w:hRule="exact"/>
        </w:trPr>
        <w:tc>
          <w:tcPr>
            <w:tcW w:w="10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188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259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</w:tr>
      <w:tr>
        <w:trPr>
          <w:trHeight w:val="300" w:hRule="exact"/>
        </w:trPr>
        <w:tc>
          <w:tcPr>
            <w:tcW w:w="10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188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259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</w:tr>
      <w:tr>
        <w:trPr>
          <w:trHeight w:val="300" w:hRule="exact"/>
        </w:trPr>
        <w:tc>
          <w:tcPr>
            <w:tcW w:w="10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188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259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</w:tr>
      <w:tr>
        <w:trPr>
          <w:trHeight w:val="300" w:hRule="exact"/>
        </w:trPr>
        <w:tc>
          <w:tcPr>
            <w:tcW w:w="10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188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259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</w:tr>
      <w:tr>
        <w:trPr>
          <w:trHeight w:val="300" w:hRule="exact"/>
        </w:trPr>
        <w:tc>
          <w:tcPr>
            <w:tcW w:w="10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188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259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</w:tr>
      <w:tr>
        <w:trPr>
          <w:trHeight w:val="300" w:hRule="exact"/>
        </w:trPr>
        <w:tc>
          <w:tcPr>
            <w:tcW w:w="10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188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  <w:tc>
          <w:tcPr>
            <w:tcW w:w="259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</w:tr>
      <w:tr>
        <w:trPr>
          <w:trHeight w:val="590" w:hRule="atLeast"/>
        </w:trPr>
        <w:tc>
          <w:tcPr>
            <w:tcW w:w="1211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Средний уровень удовлетворенности респондентов качеством предоставления по всем</w:t>
            </w:r>
          </w:p>
          <w:p>
            <w:pPr>
              <w:pStyle w:val="Normal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муниципальным услугам </w:t>
            </w:r>
            <w:r>
              <w:rPr>
                <w:rFonts w:eastAsia="Calibri" w:eastAsiaTheme="minorHAnsi"/>
                <w:b/>
                <w:bCs/>
                <w:color w:val="000000"/>
                <w:sz w:val="24"/>
                <w:lang w:eastAsia="en-US"/>
              </w:rPr>
              <w:t>(%)</w:t>
            </w:r>
          </w:p>
        </w:tc>
        <w:tc>
          <w:tcPr>
            <w:tcW w:w="2594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</w:r>
          </w:p>
        </w:tc>
      </w:tr>
    </w:tbl>
    <w:p>
      <w:pPr>
        <w:pStyle w:val="Normal"/>
        <w:jc w:val="both"/>
        <w:rPr>
          <w:bCs/>
          <w:sz w:val="24"/>
        </w:rPr>
      </w:pPr>
      <w:r>
        <w:rPr>
          <w:bCs/>
          <w:sz w:val="24"/>
        </w:rPr>
      </w:r>
    </w:p>
    <w:sectPr>
      <w:type w:val="nextPage"/>
      <w:pgSz w:orient="landscape" w:w="16838" w:h="11906"/>
      <w:pgMar w:left="992" w:right="1134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Web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6391" w:hanging="720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"/>
      <w:lvlJc w:val="left"/>
      <w:pPr>
        <w:tabs>
          <w:tab w:val="num" w:pos="1440"/>
        </w:tabs>
        <w:ind w:left="1440" w:hanging="360"/>
      </w:pPr>
      <w:rPr>
        <w:rFonts w:ascii="Webdings" w:hAnsi="Webdings" w:cs="Web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"/>
      <w:lvlJc w:val="left"/>
      <w:pPr>
        <w:tabs>
          <w:tab w:val="num" w:pos="1440"/>
        </w:tabs>
        <w:ind w:left="1440" w:hanging="360"/>
      </w:pPr>
      <w:rPr>
        <w:rFonts w:ascii="Webdings" w:hAnsi="Webdings" w:cs="Web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"/>
      <w:lvlJc w:val="left"/>
      <w:pPr>
        <w:tabs>
          <w:tab w:val="num" w:pos="1440"/>
        </w:tabs>
        <w:ind w:left="1440" w:hanging="360"/>
      </w:pPr>
      <w:rPr>
        <w:rFonts w:ascii="Webdings" w:hAnsi="Webdings" w:cs="Web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"/>
      <w:lvlJc w:val="left"/>
      <w:pPr>
        <w:tabs>
          <w:tab w:val="num" w:pos="1440"/>
        </w:tabs>
        <w:ind w:left="1440" w:hanging="360"/>
      </w:pPr>
      <w:rPr>
        <w:rFonts w:ascii="Webdings" w:hAnsi="Webdings" w:cs="Web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"/>
      <w:lvlJc w:val="left"/>
      <w:pPr>
        <w:tabs>
          <w:tab w:val="num" w:pos="1440"/>
        </w:tabs>
        <w:ind w:left="1440" w:hanging="360"/>
      </w:pPr>
      <w:rPr>
        <w:rFonts w:ascii="Webdings" w:hAnsi="Webdings" w:cs="Web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"/>
      <w:lvlJc w:val="left"/>
      <w:pPr>
        <w:tabs>
          <w:tab w:val="num" w:pos="1440"/>
        </w:tabs>
        <w:ind w:left="1440" w:hanging="360"/>
      </w:pPr>
      <w:rPr>
        <w:rFonts w:ascii="Webdings" w:hAnsi="Webdings" w:cs="Web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91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45072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c252ed"/>
    <w:rPr>
      <w:color w:val="808080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c252ed"/>
    <w:rPr>
      <w:rFonts w:ascii="Tahoma" w:hAnsi="Tahoma" w:eastAsia="Times New Roman" w:cs="Tahoma"/>
      <w:sz w:val="16"/>
      <w:szCs w:val="16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uiPriority w:val="99"/>
    <w:semiHidden/>
    <w:unhideWhenUsed/>
    <w:qFormat/>
    <w:rsid w:val="00a8279d"/>
    <w:pPr>
      <w:spacing w:beforeAutospacing="1" w:afterAutospacing="1"/>
    </w:pPr>
    <w:rPr>
      <w:sz w:val="24"/>
    </w:rPr>
  </w:style>
  <w:style w:type="paragraph" w:styleId="ConsPlusNormal" w:customStyle="1">
    <w:name w:val="ConsPlusNormal"/>
    <w:qFormat/>
    <w:rsid w:val="00a8279d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 w:eastAsiaTheme="minorHAnsi"/>
      <w:color w:val="auto"/>
      <w:kern w:val="0"/>
      <w:sz w:val="20"/>
      <w:szCs w:val="20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7a7510"/>
    <w:pPr>
      <w:spacing w:before="0" w:after="0"/>
      <w:ind w:left="72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c252ed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f080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Application>LibreOffice/7.6.7.2$Linux_X86_64 LibreOffice_project/60$Build-2</Application>
  <AppVersion>15.0000</AppVersion>
  <Pages>6</Pages>
  <Words>910</Words>
  <Characters>6771</Characters>
  <CharactersWithSpaces>7477</CharactersWithSpaces>
  <Paragraphs>169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2024-12-10T22:39:00Z</dcterms:created>
  <dc:creator>Анжелика Орлова</dc:creator>
  <dc:description/>
  <dc:language>ru-RU</dc:language>
  <cp:lastModifiedBy/>
  <cp:lastPrinted>2025-10-08T09:34:33Z</cp:lastPrinted>
  <dcterms:modified xsi:type="dcterms:W3CDTF">2025-10-09T16:49:19Z</dcterms:modified>
  <cp:revision>208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