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28 апреля 2025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321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32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 xml:space="preserve"> постановление администрации Вилючинского городского округа закрытого административно-территориального образования города Вилючинска Камчатского края от 28.05.2020 г. № 418 «Об утверждении административного регламента по предоставлению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И.В.Головчак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59" w:before="0" w:after="16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28.04.2025 г. № 321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индивидуальным предпринимателям, физическим лицам, юридическим лицам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подписью, документ на бумажном носителе, электронный документ, распечатанный на бумажном носителе, заверенный подписью и печатью МФЦ (опционально));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(электронный документ, подписанный усиленной квалифицированной электронной подписью, документ на бумажном носителе, электронный документ, распечатанный на бумажном носителе, заверенный подписью и печатью МФЦ (опционально)).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подписью, документ на бумажном носителе, электронный документ, распечатанный на бумажном носителе, заверенный подписью и печатью МФЦ (опционально));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(электронный документ, подписанный усиленной квалифицированной электронной подписью, документ на бумажном носителе, электронный документ, распечатанный на бумажном носителе, заверенный подписью и печатью МФЦ (опционально)).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МФЦ, посредством электронной почты, посредством почтовой связи, в Органе местного самоуправления, посредством Единого портала.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5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ошибок и опечаток в документах, выданных в результате предоставления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в электронном виде, подписанный усиленной квалифицированной электронной подписью нотариуса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Проверка действительности Паспорта Гражданина РФ по серии и номеру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документ, распечатанный на бумажном носителе, заверенный подписью и печатью МФЦ (опционально)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почтовой связи, посредством электронной почты,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 документа представляется в Орган власти до получения результата Услуги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документах, выданных в результате предоставления Услуги, отсутствуют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связи, в МФЦ,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Едином портале, на Региональном портале, по телефону, посредством электронной почты, при личном приеме заявителя в Органе местного самоуправления, на официальном сайте Органа местного самоуправления в сети «Интернет»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на официальном сайте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в Органе местного самоуправления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28.04.2025 г. № 321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Предоставление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Предоставление сведений об объектах имущества, находящегося в муниципальной собственности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ошибок и опечаток в документах, выданных в результате предоставления Услуги»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Юридическое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Индивидуальный предприниматель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28.04.2025 г. № 321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информацию об объектах недвижимого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Подробная информация об объекте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предполагаемое целевое использование объекта аренды: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(местонахождение)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дополнительные характеристики объекта: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информацию об объектах недвижимого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Подробная информация об объекте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предполагаемое целевое использование объекта аренды: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(местонахождение)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дополнительные характеристики объекта: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информацию об объектах недвижимого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Подробная информация об объекте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предполагаемое целевое использование объекта аренды: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(местонахождение)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дополнительные характеристики объекта: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информацию об объектах недвижимого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Подробная информация об объекте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предполагаемое целевое использование объекта аренды: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(местонахождение)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дополнительные характеристики объекта: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информацию об объектах недвижимого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Подробная информация об объекте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предполагаемое целевое использование объекта аренды: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(местонахождение)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дополнительные характеристики объекта: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индивидуального предпринимателя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предоставить информацию об объектах недвижимого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Подробная информация об объекте недвижимости: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предполагаемое целевое использование объекта аренды: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(местонахождение)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дополнительные характеристики объекта: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индивидуального предпринимателя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индивидуального предпринимателя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сведений об объектах имущества, находящегося в муниципальной собственности Вилючинского городского округа 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ошибку в документе, выданном в результате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выданного в результате предоставления Услуги: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юридическом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фактический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уполномоченного сотрудника: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удостоверяющего личность уполномоченного лица: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местного самоуправления: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индивидуальном предпринимателе: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индивидуального предпринимателя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>.</w:t>
      </w:r>
    </w:p>
    <w:sectPr>
      <w:headerReference w:type="default" r:id="rId6"/>
      <w:headerReference w:type="first" r:id="rId7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78</Pages>
  <Words>16002</Words>
  <Characters>121127</Characters>
  <CharactersWithSpaces>136676</CharactersWithSpaces>
  <Paragraphs>1417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2025-01-21T12:28:00Z</dcterms:created>
  <dc:creator>Кузнецов Виталий Геннадиевич</dc:creator>
  <dc:description/>
  <dc:language>ru-RU</dc:language>
  <cp:lastModifiedBy/>
  <dcterms:modified xsi:type="dcterms:W3CDTF">2025-04-29T12:22:49Z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