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media/image1.jpeg" ContentType="image/jpeg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27.02.2025 г.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140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Законом Российской Федерации от 4 июля 1991 г. № 1541-1 «О приватизации жилищного фонда в Российской Федерации», Федеральным законом от 06.10.2003 года № 131-ФЗ «Об общих принципах организации местного самоуправления в Российской Федерации», Федеральным законом от 29 декабря 2004 г. № 189-ФЗ «О введении в действие Жилищного кодекса Российской Федерации», Федеральным законом от 27 июля 2010 г. № 210-ФЗ «Об организации предоставления государственных и муниципальных услуг», Федеральным законом от 13 июля 2015 г. № 218-ФЗ «О государственной регистрации недвижимости»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334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Глава Вилючинского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Документ подписан электронной подписью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И.В. Головчак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4294963199"/>
        </w:sectPr>
        <w:pStyle w:val="Normal"/>
        <w:spacing w:lineRule="auto" w:line="259" w:before="0" w:after="16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spacing w:before="0" w:after="0"/>
        <w:ind w:left="6237"/>
        <w:rPr>
          <w:lang w:val="en-US"/>
        </w:rPr>
      </w:pPr>
      <w:r>
        <w:rPr>
          <w:sz w:val="28"/>
          <w:szCs w:val="28"/>
          <w:lang w:val="en-US"/>
        </w:rPr>
        <w:t>27.02.2025 г. № 140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гражданам Российской Федерации, имеющим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самоуправления).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передачей в собственность граждан занимаемых ими жилых помещений жилищного фонда (приватизацией жилищного фонда) результатами предоставления Услуги являются: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заключении договора передачи жилого помещения в собственность граждан (документ на бумажном носителе или в форме электронного документа, подписанного усиленной квалифицированной электронной подписью)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приватизации жилого помещения (документ на бумажном носителе или в форме электронного документа, подписанного усиленной квалифицированной электронной подписью)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результате предоставления Услуги результатами предоставления Услуги являются: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исправленный документ взамен ранее выданного в результате предоставления Услуги документа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посредством Единого портала, в Органе местного самоуправления, в МФЦ.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35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6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передачей в собственность граждан занимаемых ими жилых помещений жилищного фонда (приватизацией жилищного фонда)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Заявитель, единственный участник приватизации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и другие участники приватизации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Родитель, опекун, попечитель, приёмный родитель несовершеннолетнего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Иные представители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результате предоставления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заключении договора передачи жилого помещения в собственность граждан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приватизации жилого помещения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неиспользование ранее права на приватизацию</w:t>
      </w:r>
      <w:r>
        <w:rPr>
          <w:sz w:val="28"/>
          <w:szCs w:val="28"/>
          <w:lang w:val="en-US"/>
        </w:rPr>
        <w:t>, – документ, подтверждающий, что ранее право на приватизацию жилья не было использовано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выписка из домовой книги по месту жительства или по месту пребывания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заявителя на объект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 правах отдельного лица на имевшиеся (имеющиеся) у него объекты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ордер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пребывания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 соответствии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перемены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Вид сведений Универсальный электронный медицинский документ РЭМД»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здравоохранения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Справка, подтверждающая, что ранее право на приватизацию жилья не было использовано»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Документ, подтверждающий право граждан на ползование жилым помещением»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Соглашение о расторжении договора передачи жилого помещения в собственность граждан»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рабочих дней </w:t>
      </w:r>
      <w:r>
        <w:rPr>
          <w:sz w:val="28"/>
          <w:szCs w:val="28"/>
        </w:rPr>
        <w:t>с даты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реестра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Вилючинского городского округа»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с сентября 1991 года на лиц, имеющих право на приватизацию»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МВД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с запросом о приватизации жилого помещения, находящегося в аварийном состоянии, в общежитии, служебного жилого помещения;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использованное ранее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отказа в приватизации жилого помещения одного или нескольких лиц, зарегистрированных по месту жительства с заявителем;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права собственности на приватизируемое заявителем жилое помещение у органа государственной власти, органа межведомственного самоуправления субъекта Российской, предоставляющего государственную (муниципальную) услугу;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изменение состава лиц, совместно проживающих в приватизируемом жилом помещении с заявителем, в период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сведений о признании жилого помещении непригодным для проживания либо находящегося в многоквартирном доме, признанном аварийным;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сведений об оспаривании в судебном порядке прав на жилое помещение, в отношении которого подан запрос;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согласия с приватизацией жилого помещения всех членов семьи заявителя, лиц зарегистрированных в приватизируемом жилом помещении, лиц, имеющих право пользования данным помещением на условиях социального найма и неиспользовавших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оспаривание в судебном порядке права на жилое помещение, в отношении которого подан запрос.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заключении договора передачи жилого помещения в собственность граждан;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приватизации жилого помещения.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заключении договора передачи жилого помещения в собственность граждан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приватизации жилого помещения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Отказ от участия в приватизации</w:t>
      </w:r>
      <w:r>
        <w:rPr>
          <w:sz w:val="28"/>
          <w:szCs w:val="28"/>
          <w:lang w:val="en-US"/>
        </w:rPr>
        <w:t>, – отказ от участия в приватизации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заверенный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судебные акты</w:t>
      </w:r>
      <w:r>
        <w:rPr>
          <w:sz w:val="28"/>
          <w:szCs w:val="28"/>
          <w:lang w:val="en-US"/>
        </w:rPr>
        <w:t>, – решение суда о признании гражданина недееспособным (ограниченно дееспособным)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сохранение права или неиспользованное право на приватизацию жилья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 в форматах .pdf, .jpg или .jpeg, предоставляется заявителем при наличии жизненной ситуации; в МФЦ: предъявление оригинала документа, предоставляется заявителем при наличии жизненной ситуации; в Органе местного самоуправления: предъявление оригинала документа, предоставляется заявителем при наличии жизненной ситуации)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справка с места прохождения военной службы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приговор суда.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неиспользование ранее права на приватизацию</w:t>
      </w:r>
      <w:r>
        <w:rPr>
          <w:sz w:val="28"/>
          <w:szCs w:val="28"/>
          <w:lang w:val="en-US"/>
        </w:rPr>
        <w:t>, – документ, подтверждающий, что ранее право на приватизацию жилья не было использовано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выписка из домовой книги по месту жительства или по месту пребывания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заявителя на объект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 правах отдельного лица на имевшиеся (имеющиеся) у него объекты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ордер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правовые основания отнесения лиц, проживающих совместно с заявителем по месту постоянного жительства, к членам его семьи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автоматическое заполнение из личного кабинета, заполняется в личном кабинете Единого портала;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заключении брака.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пребывания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 соответствии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перемены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Вид сведений Универсальный электронный медицинский документ РЭМД»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здравоохранения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Справка, подтверждающая, что ранее право на приватизацию жилья не было использовано»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Документ, подтверждающий право граждан на ползование жилым помещением»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Соглашение о расторжении договора передачи жилого помещения в собственность граждан»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рабочих дней </w:t>
      </w:r>
      <w:r>
        <w:rPr>
          <w:sz w:val="28"/>
          <w:szCs w:val="28"/>
        </w:rPr>
        <w:t>с даты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реестра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Вилючинского городского округа»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с сентября 1991 года на лиц, имеющих право на приватизацию»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МВД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с запросом о приватизации жилого помещения, находящегося в аварийном состоянии, в общежитии, служебного жилого помещения;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использованное ранее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отказа в приватизации жилого помещения одного или нескольких лиц, зарегистрированных по месту жительства с заявителем;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права собственности на приватизируемое заявителем жилое помещение у органа государственной власти, органа межведомственного самоуправления субъекта Российской, предоставляющего государственную (муниципальную) услугу;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изменение состава лиц, совместно проживающих в приватизируемом жилом помещении с заявителем, в период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сведений о признании жилого помещении непригодным для проживания либо находящегося в многоквартирном доме, признанном аварийным;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сведений об оспаривании в судебном порядке прав на жилое помещение, в отношении которого подан запрос;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согласия с приватизацией жилого помещения всех членов семьи заявителя, лиц зарегистрированных в приватизируемом жилом помещении, лиц, имеющих право пользования данным помещением на условиях социального найма и неиспользовавших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оспаривание в судебном порядке права на жилое помещение, в отношении которого подан запрос;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обращения заявителя, одного из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заключении договора передачи жилого помещения в собственность граждан;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приватизации жилого помещения.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заключении договора передачи жилого помещения в собственность граждан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приватизации жилого помещения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согласие органов опеки и попечительства на приватизацию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согласие опекуна, попечителя или приемного родителя на приватизацию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согласие родителей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органов опеки и попечительства на приватизацию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органов опеки и попечительства на неучастие в приватизациии несовершеннолетнего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в форматах *.PDF, *.JPG, *.JPEG, *.PNG, *.BMP, *.TIFF, *.ZIP, *.RAR, *.SIG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неиспользование ранее права на приватизацию</w:t>
      </w:r>
      <w:r>
        <w:rPr>
          <w:sz w:val="28"/>
          <w:szCs w:val="28"/>
          <w:lang w:val="en-US"/>
        </w:rPr>
        <w:t>, – документ, подтверждающий, что ранее право на приватизацию жилья не было использовано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выписка из домовой книги по месту жительства или по месту пребывания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заявителя на объект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 правах отдельного лица на имевшиеся (имеющиеся) у него объекты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ордер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пребывания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 соответствии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перемены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Вид сведений Универсальный электронный медицинский документ РЭМД»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здравоохранения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Справка, подтверждающая, что ранее право на приватизацию жилья не было использовано»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Документ, подтверждающий право граждан на ползование жилым помещением»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Соглашение о расторжении договора передачи жилого помещения в собственность граждан»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рабочих дней </w:t>
      </w:r>
      <w:r>
        <w:rPr>
          <w:sz w:val="28"/>
          <w:szCs w:val="28"/>
        </w:rPr>
        <w:t>с даты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реестра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Вилючинского городского округа»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с сентября 1991 года на лиц, имеющих право на приватизацию»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МВД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с запросом о приватизации жилого помещения, находящегося в аварийном состоянии, в общежитии, служебного жилого помещения;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использованное ранее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отказа в приватизации жилого помещения одного или нескольких лиц, зарегистрированных по месту жительства с заявителем;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права собственности на приватизируемое заявителем жилое помещение у органа государственной власти, органа межведомственного самоуправления субъекта Российской, предоставляющего государственную (муниципальную) услугу;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изменение состава лиц, совместно проживающих в приватизируемом жилом помещении с заявителем, в период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сведений о признании жилого помещении непригодным для проживания либо находящегося в многоквартирном доме, признанном аварийным;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сведений об оспаривании в судебном порядке прав на жилое помещение, в отношении которого подан запрос;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согласия с приватизацией жилого помещения всех членов семьи заявителя, лиц зарегистрированных в приватизируемом жилом помещении, лиц, имеющих право пользования данным помещением на условиях социального найма и неиспользовавших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оспаривание в судебном порядке права на жилое помещение, в отношении которого подан запрос.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заключении договора передачи жилого помещения в собственность граждан;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приватизации жилого помещения.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35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заключении договора передачи жилого помещения в собственность граждан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приватизации жилого помещения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с открепленной усиленной квалифицированной электронной подписью нотариуса в формате SIG, с расширением *.PDF, *.XML, *.ZIP, *.RAR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неиспользование ранее права на приватизацию</w:t>
      </w:r>
      <w:r>
        <w:rPr>
          <w:sz w:val="28"/>
          <w:szCs w:val="28"/>
          <w:lang w:val="en-US"/>
        </w:rPr>
        <w:t>, – документ, подтверждающий, что ранее право на приватизацию жилья не было использовано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>
        <w:rPr>
          <w:sz w:val="28"/>
          <w:szCs w:val="28"/>
          <w:lang w:val="en-US"/>
        </w:rPr>
        <w:t>, – выписка из домовой книги по месту жительства или по месту пребывания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заявителя на объект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о правах отдельного лица на имевшиеся (имеющиеся) у него объекты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>, – ордер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пребывания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 соответствии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ЕГР ЗАГС о государственной регистрации перемены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Вид сведений Универсальный электронный медицинский документ РЭМД»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здравоохранения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Справка, подтверждающая, что ранее право на приватизацию жилья не было использовано»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Документ, подтверждающий право граждан на ползование жилым помещением»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Соглашение о расторжении договора передачи жилого помещения в собственность граждан»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Уполномоченный орган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рабочих дней </w:t>
      </w:r>
      <w:r>
        <w:rPr>
          <w:sz w:val="28"/>
          <w:szCs w:val="28"/>
        </w:rPr>
        <w:t>с даты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реестра муниципальной собственности»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Администрация Вилючинского городского округа»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с сентября 1991 года на лиц, имеющих право на приватизацию»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МВД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с запросом о приватизации жилого помещения, находящегося в аварийном состоянии, в общежитии, служебного жилого помещения;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использованное ранее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отказа в приватизации жилого помещения одного или нескольких лиц, зарегистрированных по месту жительства с заявителем;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права собственности на приватизируемое заявителем жилое помещение у органа государственной власти, органа межведомственного самоуправления субъекта Российской, предоставляющего государственную (муниципальную) услугу;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изменение состава лиц, совместно проживающих в приватизируемом жилом помещении с заявителем, в период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сведений о признании жилого помещении непригодным для проживания либо находящегося в многоквартирном доме, признанном аварийным;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сведений об оспаривании в судебном порядке прав на жилое помещение, в отношении которого подан запрос;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согласия с приватизацией жилого помещения всех членов семьи заявителя, лиц зарегистрированных в приватизируемом жилом помещении, лиц, имеющих право пользования данным помещением на условиях социального найма и неиспользовавших право на приватизацию;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оспаривание в судебном порядке права на жилое помещение, в отношении которого подан запрос.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заключении договора передачи жилого помещения в собственность граждан;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приватизации жилого помещения.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в результате предоставления Услуги документа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Вид сведений Универсальный электронный медицинский документ РЭМД»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здравоохранения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в результате предоставления Услуги документа;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в результате предоставления Услуги документа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оформленная в соответствии со статьей 185 Гражданского кодекса Российской Федерации</w:t>
      </w:r>
      <w:r>
        <w:rPr>
          <w:sz w:val="28"/>
          <w:szCs w:val="28"/>
        </w:rPr>
        <w:t xml:space="preserve"> (оригинал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Вид сведений Универсальный электронный медицинский документ РЭМД»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здравоохранения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в результате предоставления Услуги документа;</w:t>
      </w:r>
    </w:p>
    <w:p>
      <w:pPr>
        <w:pStyle w:val="Normal"/>
        <w:numPr>
          <w:ilvl w:val="1"/>
          <w:numId w:val="6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официальном сайте Органа местного самоуправления в сети «Интернет», на Едином портале, на Региональном портале, по телефону, посредством электронной почты, при личном обращении в Орган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на официальном сайте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при личном обращении в Орган местного самоуправления.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27.02.2025 г. № 140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  <w:r>
              <w:rPr>
                <w:kern w:val="0"/>
                <w:szCs w:val="20"/>
                <w:lang w:val="ru-RU" w:eastAsia="en-US" w:bidi="ar-SA"/>
              </w:rPr>
              <w:t>, Заявитель, единственный участник приватизации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  <w:r>
              <w:rPr>
                <w:kern w:val="0"/>
                <w:szCs w:val="20"/>
                <w:lang w:val="ru-RU" w:eastAsia="en-US" w:bidi="ar-SA"/>
              </w:rPr>
              <w:t>, Заявитель и другие участники приватизации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  <w:r>
              <w:rPr>
                <w:kern w:val="0"/>
                <w:szCs w:val="20"/>
                <w:lang w:val="ru-RU" w:eastAsia="en-US" w:bidi="ar-SA"/>
              </w:rPr>
              <w:t>, Родитель, опекун, попечитель, приёмный родитель несовершеннолетнего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  <w:r>
              <w:rPr>
                <w:kern w:val="0"/>
                <w:szCs w:val="20"/>
                <w:lang w:val="ru-RU" w:eastAsia="en-US" w:bidi="ar-SA"/>
              </w:rPr>
              <w:t>, Иные представители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опечаток и (или) ошибок, допущенных в  результате предоставления Услуги»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Заявитель, единственный участник приватизации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и другие участники приватизации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Родитель, опекун, попечитель, приёмный родитель несовершеннолетнего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4. Иные представители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опечаток и (или) ошибок, допущенных в  результате предоставления Услуги»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27.02.2025 г. № 140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«Передача в собственность граждан занимаемых ими жилых помещений жилищного фонда (приватизация жилищного фонда)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подтверждающем право пользования жилым помещением: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жилом помещении, которое подлежит приватизации: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приватизируемого жилого помещения: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 м):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участниках приватизационной процедуры: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(отчество -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удостоверяющем личность: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и (или) адрес электронной (при наличии) почты для связи с заявителем: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корпуса (владения, строения):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Настоящим подтверждаю, что ранее право на участие в приватизации на территории Российской Федерации не использовал..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«Передача в собственность граждан занимаемых ими жилых помещений жилищного фонда (приватизация жилищного фонда)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подтверждающем право пользования жилым помещением: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жилом помещении, которое подлежит приватизации: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приватизируемого жилого помещения: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 м):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участниках приватизационной процедуры: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(отчество -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удостоверяющем личность: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и (или) адрес электронной (при наличии) почты для связи с заявителем: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корпуса (владения, строения):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Настоящим подтверждаю, что ранее право на участие в приватизации на территории Российской Федерации не использовал..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участниках приватизационной процедуры: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(отчество -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удостоверяющем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Согласие на обработку персональных данных: </w:t>
      </w:r>
      <w:sdt>
        <w:sdtPr>
          <w:id w:val="18735712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121114625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лицах, зарегистрированных по месту пребывания или по месту жительства, а также состоящих на миграционном учете совместно по одному адресу: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(отчество -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пребывания: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данные о лицах, зарегистрированных по месту пребывания или по месту жительства, а также состоящих на миграционном учёте, совместно по одному адресу: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ФИО,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Дата рождения,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Тип документа,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Серия документа,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Номер документа,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Дата начала регистрации,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Дата выдачи документа, </w:t>
      </w:r>
      <w:sdt>
        <w:sdtPr>
          <w:id w:val="256097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Орган, выдавший документ.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«Передача в собственность граждан занимаемых ими жилых помещений жилищного фонда (приватизация жилищного фонда)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подтверждающем право пользования жилым помещением: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жилом помещении, которое подлежит приватизации: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приватизируемого жилого помещения: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 м):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участниках приватизационной процедуры: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(отчество -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удостоверяющем личность: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и (или) адрес электронной (при наличии) почты для связи с заявителем: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корпуса (владения, строения):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Настоящим подтверждаю, что ранее право на участие в приватизации на территории Российской Федерации не использовал..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ребенке: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ребенка: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 (м/ж):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число, месяц и год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актовой записи о рождении: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актовой записи о рождении: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составившего актовую запись о рождении: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запись акта о рождении ребенка была сделана компетентным органом иностранного государства: </w:t>
      </w:r>
      <w:sdt>
        <w:sdtPr>
          <w:id w:val="18735712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121114625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«Передача в собственность граждан занимаемых ими жилых помещений жилищного фонда (приватизация жилищного фонда)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подтверждающем право пользования жилым помещением: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жилом помещении, которое подлежит приватизации: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приватизируемого жилого помещения: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 м):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участниках приватизационной процедуры: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(отчество -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документе, удостоверяющем личность: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и (или) адрес электронной (при наличии) почты для связи с заявителем: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корпуса (владения, строения):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Настоящим подтверждаю, что ранее право на участие в приватизации на территории Российской Федерации не использовал..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«Передача в собственность граждан занимаемых ими жилых помещений жилищного фонда (приватизация жилищного фонда)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исправить ошибку в документе, выданном в результате предоставления Услуги.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6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«Передача в собственность граждан занимаемых ими жилых помещений жилищного фонда (приватизация жилищного фонда)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исправить ошибку в документе, выданном в результате предоставления Услуги.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sectPr>
          <w:headerReference w:type="default" r:id="rId6"/>
          <w:headerReference w:type="first" r:id="rId7"/>
          <w:footnotePr>
            <w:numFmt w:val="decimal"/>
          </w:footnotePr>
          <w:type w:val="nextPage"/>
          <w:pgSz w:w="11906" w:h="16838"/>
          <w:pgMar w:left="1134" w:right="567" w:gutter="0" w:header="709" w:top="766" w:footer="0" w:bottom="1134"/>
          <w:pgNumType w:start="1" w:fmt="decimal"/>
          <w:formProt w:val="false"/>
          <w:titlePg/>
          <w:textDirection w:val="lrTb"/>
          <w:docGrid w:type="default" w:linePitch="360" w:charSpace="4294963199"/>
        </w:sect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hanging="0" w:left="6250"/>
        <w:jc w:val="left"/>
        <w:rPr/>
      </w:pPr>
      <w:r>
        <w:rPr>
          <w:sz w:val="28"/>
        </w:rPr>
        <w:t xml:space="preserve">Приложение № 3 к Административному регламенту, утвержденному постановлением Администрации Вилючинского городского округа от 27.02.2025 г. № 140 </w:t>
      </w:r>
    </w:p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Heading1"/>
        <w:numPr>
          <w:ilvl w:val="0"/>
          <w:numId w:val="7"/>
        </w:numPr>
        <w:ind w:hanging="0" w:left="25" w:right="0"/>
        <w:rPr/>
      </w:pPr>
      <w:r>
        <w:rPr/>
        <w:t>Форма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3"/>
        </w:rPr>
        <w:t xml:space="preserve"> </w:t>
      </w:r>
      <w:r>
        <w:rPr/>
        <w:t>об</w:t>
      </w:r>
      <w:r>
        <w:rPr>
          <w:spacing w:val="-3"/>
        </w:rPr>
        <w:t xml:space="preserve"> </w:t>
      </w:r>
      <w:r>
        <w:rPr/>
        <w:t>отказе</w:t>
      </w:r>
      <w:r>
        <w:rPr>
          <w:spacing w:val="-1"/>
        </w:rPr>
        <w:t xml:space="preserve"> в приватизации жилого помещения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Normal"/>
        <w:spacing w:lineRule="exact" w:line="295"/>
        <w:ind w:left="30" w:right="0"/>
        <w:jc w:val="center"/>
        <w:rPr>
          <w:i/>
          <w:i/>
          <w:sz w:val="27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>
      <w:pPr>
        <w:pStyle w:val="BodyText"/>
        <w:spacing w:before="10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BodyText"/>
        <w:tabs>
          <w:tab w:val="clear" w:pos="1134"/>
          <w:tab w:val="left" w:pos="10117" w:leader="none"/>
        </w:tabs>
        <w:ind w:left="6944" w:right="0"/>
        <w:rPr>
          <w:sz w:val="24"/>
          <w:szCs w:val="24"/>
        </w:rPr>
      </w:pPr>
      <w:r>
        <w:rPr>
          <w:sz w:val="24"/>
          <w:szCs w:val="24"/>
        </w:rPr>
        <w:t>Кому:</w:t>
      </w:r>
    </w:p>
    <w:p>
      <w:pPr>
        <w:pStyle w:val="BodyText"/>
        <w:tabs>
          <w:tab w:val="clear" w:pos="1134"/>
          <w:tab w:val="left" w:pos="10043" w:leader="none"/>
        </w:tabs>
        <w:spacing w:before="1" w:after="0"/>
        <w:ind w:left="6944" w:right="0"/>
        <w:rPr/>
      </w:pPr>
      <w:r>
        <w:rPr>
          <w:sz w:val="24"/>
          <w:szCs w:val="24"/>
        </w:rPr>
        <w:t>Контактные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данные:</w:t>
      </w:r>
    </w:p>
    <w:p>
      <w:pPr>
        <w:pStyle w:val="BodyText"/>
        <w:spacing w:before="6" w:after="0"/>
        <w:rPr>
          <w:sz w:val="23"/>
        </w:rPr>
      </w:pPr>
      <w:r>
        <w:rPr>
          <w:sz w:val="23"/>
        </w:rPr>
      </w:r>
    </w:p>
    <w:p>
      <w:pPr>
        <w:pStyle w:val="BodyText"/>
        <w:spacing w:lineRule="exact" w:line="293"/>
        <w:ind w:left="21" w:right="0"/>
        <w:jc w:val="center"/>
        <w:rPr/>
      </w:pPr>
      <w:r>
        <w:rPr/>
        <w:t>РЕШЕНИЕ</w:t>
      </w:r>
    </w:p>
    <w:p>
      <w:pPr>
        <w:pStyle w:val="BodyText"/>
        <w:spacing w:lineRule="exact" w:line="322" w:before="2" w:after="0"/>
        <w:ind w:left="14" w:right="0"/>
        <w:jc w:val="center"/>
        <w:rPr/>
      </w:pPr>
      <w:r>
        <w:rPr/>
        <w:t>об</w:t>
      </w:r>
      <w:r>
        <w:rPr>
          <w:spacing w:val="9"/>
        </w:rPr>
        <w:t xml:space="preserve"> </w:t>
      </w:r>
      <w:r>
        <w:rPr/>
        <w:t>отказе</w:t>
      </w:r>
      <w:r>
        <w:rPr>
          <w:spacing w:val="9"/>
        </w:rPr>
        <w:t xml:space="preserve"> </w:t>
      </w:r>
      <w:r>
        <w:rPr/>
        <w:t>в</w:t>
      </w:r>
      <w:r>
        <w:rPr>
          <w:spacing w:val="7"/>
        </w:rPr>
        <w:t xml:space="preserve"> </w:t>
      </w:r>
      <w:r>
        <w:rPr/>
        <w:t>приватизации жилого помещения</w:t>
      </w:r>
    </w:p>
    <w:p>
      <w:pPr>
        <w:pStyle w:val="BodyText"/>
        <w:tabs>
          <w:tab w:val="clear" w:pos="1134"/>
          <w:tab w:val="left" w:pos="1762" w:leader="none"/>
          <w:tab w:val="left" w:pos="3841" w:leader="none"/>
        </w:tabs>
        <w:ind w:left="24" w:right="0"/>
        <w:jc w:val="center"/>
        <w:rPr>
          <w:u w:val="none"/>
        </w:rPr>
      </w:pPr>
      <w:r>
        <w:rPr>
          <w:u w:val="none"/>
        </w:rPr>
        <w:t>от___________ № _____________</w:t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BodyText"/>
        <w:widowControl w:val="false"/>
        <w:suppressAutoHyphens w:val="true"/>
        <w:bidi w:val="0"/>
        <w:spacing w:before="89" w:after="0"/>
        <w:ind w:hanging="0" w:left="57" w:right="0"/>
        <w:jc w:val="both"/>
        <w:rPr/>
      </w:pPr>
      <w:r>
        <w:rPr/>
        <w:t>По результатам рассмотрения заявления от «____» ____________20__ г. №</w:t>
      </w:r>
      <w:r>
        <w:rPr>
          <w:sz w:val="26"/>
        </w:rPr>
        <w:t>(Заявитель:____________________________)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приложенных</w:t>
      </w:r>
      <w:r>
        <w:rPr>
          <w:spacing w:val="21"/>
          <w:sz w:val="26"/>
        </w:rPr>
        <w:t xml:space="preserve"> </w:t>
      </w:r>
      <w:r>
        <w:rPr>
          <w:sz w:val="26"/>
        </w:rPr>
        <w:t>к</w:t>
      </w:r>
      <w:r>
        <w:rPr>
          <w:spacing w:val="17"/>
          <w:sz w:val="26"/>
        </w:rPr>
        <w:t xml:space="preserve"> </w:t>
      </w:r>
      <w:r>
        <w:rPr>
          <w:sz w:val="26"/>
        </w:rPr>
        <w:t>нему</w:t>
      </w:r>
      <w:r>
        <w:rPr>
          <w:spacing w:val="15"/>
          <w:sz w:val="26"/>
        </w:rPr>
        <w:t xml:space="preserve"> </w:t>
      </w:r>
      <w:r>
        <w:rPr>
          <w:sz w:val="26"/>
        </w:rPr>
        <w:t>документов принято</w:t>
      </w:r>
      <w:r>
        <w:rPr/>
        <w:t xml:space="preserve"> решение об отказе в предоставлении услуги по следующим основаниям: _________.</w:t>
      </w:r>
    </w:p>
    <w:p>
      <w:pPr>
        <w:pStyle w:val="BodyText"/>
        <w:widowControl w:val="false"/>
        <w:suppressAutoHyphens w:val="true"/>
        <w:bidi w:val="0"/>
        <w:spacing w:before="89" w:after="0"/>
        <w:ind w:hanging="0" w:left="57" w:right="0"/>
        <w:jc w:val="both"/>
        <w:rPr/>
      </w:pPr>
      <w:r>
        <w:rPr/>
        <w:t>Разъяснения причин отказа: __________________________________________.</w:t>
      </w:r>
    </w:p>
    <w:p>
      <w:pPr>
        <w:pStyle w:val="BodyText"/>
        <w:widowControl w:val="false"/>
        <w:suppressAutoHyphens w:val="true"/>
        <w:bidi w:val="0"/>
        <w:spacing w:before="89" w:after="0"/>
        <w:ind w:hanging="0" w:left="57" w:right="0"/>
        <w:jc w:val="both"/>
        <w:rPr/>
      </w:pPr>
      <w:r>
        <w:rPr/>
        <w:t>Дополнительно</w:t>
      </w:r>
      <w:r>
        <w:rPr>
          <w:spacing w:val="-8"/>
        </w:rPr>
        <w:t xml:space="preserve"> </w:t>
      </w:r>
      <w:r>
        <w:rPr/>
        <w:t>информируем:(дополнительная информация для заявителя).</w:t>
      </w:r>
    </w:p>
    <w:p>
      <w:pPr>
        <w:pStyle w:val="BodyText"/>
        <w:spacing w:lineRule="auto" w:line="276" w:before="95" w:after="0"/>
        <w:ind w:firstLine="708" w:left="139" w:right="113"/>
        <w:jc w:val="both"/>
        <w:rPr/>
      </w:pPr>
      <w:r>
        <w:rPr/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rPr/>
        <w:t>устранения</w:t>
      </w:r>
      <w:r>
        <w:rPr>
          <w:spacing w:val="-1"/>
        </w:rPr>
        <w:t xml:space="preserve"> </w:t>
      </w:r>
      <w:r>
        <w:rPr/>
        <w:t>указанных</w:t>
      </w:r>
      <w:r>
        <w:rPr>
          <w:spacing w:val="-3"/>
        </w:rPr>
        <w:t xml:space="preserve"> </w:t>
      </w:r>
      <w:r>
        <w:rPr/>
        <w:t>нарушений.</w:t>
      </w:r>
    </w:p>
    <w:p>
      <w:pPr>
        <w:pStyle w:val="BodyText"/>
        <w:spacing w:lineRule="auto" w:line="312"/>
        <w:ind w:firstLine="708" w:left="139" w:right="107"/>
        <w:jc w:val="both"/>
        <w:rPr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rPr/>
        <w:t>быть</w:t>
      </w:r>
      <w:r>
        <w:rPr>
          <w:spacing w:val="-15"/>
        </w:rPr>
        <w:t xml:space="preserve"> </w:t>
      </w:r>
      <w:r>
        <w:rPr/>
        <w:t>обжалован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досудебном</w:t>
      </w:r>
      <w:r>
        <w:rPr>
          <w:spacing w:val="-18"/>
        </w:rPr>
        <w:t xml:space="preserve"> </w:t>
      </w:r>
      <w:r>
        <w:rPr/>
        <w:t>порядке</w:t>
      </w:r>
      <w:r>
        <w:rPr>
          <w:spacing w:val="-17"/>
        </w:rPr>
        <w:t xml:space="preserve"> </w:t>
      </w:r>
      <w:r>
        <w:rPr/>
        <w:t>путем</w:t>
      </w:r>
      <w:r>
        <w:rPr>
          <w:spacing w:val="-16"/>
        </w:rPr>
        <w:t xml:space="preserve"> </w:t>
      </w:r>
      <w:r>
        <w:rPr/>
        <w:t>направления</w:t>
      </w:r>
      <w:r>
        <w:rPr>
          <w:spacing w:val="-68"/>
        </w:rPr>
        <w:t xml:space="preserve"> </w:t>
      </w:r>
      <w:r>
        <w:rPr/>
        <w:t>жалобы в орган, уполномоченный на предоставление услуги,</w:t>
      </w:r>
      <w:r>
        <w:rPr>
          <w:spacing w:val="70"/>
        </w:rPr>
        <w:t xml:space="preserve"> </w:t>
      </w:r>
      <w:r>
        <w:rPr/>
        <w:t>а</w:t>
      </w:r>
      <w:r>
        <w:rPr>
          <w:spacing w:val="70"/>
        </w:rPr>
        <w:t xml:space="preserve"> </w:t>
      </w:r>
      <w:r>
        <w:rPr/>
        <w:t>также</w:t>
      </w:r>
      <w:r>
        <w:rPr>
          <w:spacing w:val="-67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судебном</w:t>
      </w:r>
      <w:r>
        <w:rPr>
          <w:spacing w:val="-3"/>
        </w:rPr>
        <w:t xml:space="preserve"> </w:t>
      </w:r>
      <w:r>
        <w:rPr/>
        <w:t>порядке.</w:t>
      </w:r>
    </w:p>
    <w:p>
      <w:pPr>
        <w:pStyle w:val="BodyText"/>
        <w:tabs>
          <w:tab w:val="clear" w:pos="1134"/>
          <w:tab w:val="left" w:pos="10053" w:leader="none"/>
        </w:tabs>
        <w:spacing w:before="89" w:after="0"/>
        <w:ind w:left="847" w:right="0"/>
        <w:jc w:val="both"/>
        <w:rPr/>
      </w:pPr>
      <w:r>
        <w:rPr/>
      </w:r>
    </w:p>
    <w:p>
      <w:pPr>
        <w:pStyle w:val="BodyText"/>
        <w:widowControl w:val="false"/>
        <w:tabs>
          <w:tab w:val="clear" w:pos="1134"/>
          <w:tab w:val="left" w:pos="10053" w:leader="none"/>
        </w:tabs>
        <w:suppressAutoHyphens w:val="true"/>
        <w:bidi w:val="0"/>
        <w:spacing w:before="89" w:after="0"/>
        <w:ind w:hanging="0" w:left="0" w:right="0"/>
        <w:jc w:val="both"/>
        <w:rPr/>
      </w:pPr>
      <w:r>
        <w:rPr/>
      </w:r>
    </w:p>
    <w:p>
      <w:pPr>
        <w:pStyle w:val="BodyText"/>
        <w:widowControl w:val="false"/>
        <w:tabs>
          <w:tab w:val="clear" w:pos="1134"/>
          <w:tab w:val="left" w:pos="10053" w:leader="none"/>
        </w:tabs>
        <w:suppressAutoHyphens w:val="true"/>
        <w:bidi w:val="0"/>
        <w:spacing w:before="89" w:after="0"/>
        <w:ind w:hanging="0" w:left="0" w:right="0"/>
        <w:jc w:val="both"/>
        <w:rPr/>
      </w:pPr>
      <w:r>
        <w:rPr/>
        <w:t>Должность, ФИО сотрудника,</w:t>
      </w:r>
    </w:p>
    <w:p>
      <w:pPr>
        <w:sectPr>
          <w:headerReference w:type="default" r:id="rId8"/>
          <w:headerReference w:type="first" r:id="rId9"/>
          <w:footnotePr>
            <w:numFmt w:val="decimal"/>
          </w:footnotePr>
          <w:type w:val="nextPage"/>
          <w:pgSz w:w="11906" w:h="16838"/>
          <w:pgMar w:left="1134" w:right="567" w:gutter="0" w:header="431" w:top="851" w:footer="0" w:bottom="851"/>
          <w:pgNumType w:fmt="decimal"/>
          <w:formProt w:val="false"/>
          <w:textDirection w:val="lrTb"/>
          <w:docGrid w:type="default" w:linePitch="100" w:charSpace="4096"/>
        </w:sectPr>
        <w:pStyle w:val="BodyText"/>
        <w:widowControl w:val="false"/>
        <w:tabs>
          <w:tab w:val="clear" w:pos="1134"/>
          <w:tab w:val="left" w:pos="10053" w:leader="none"/>
        </w:tabs>
        <w:suppressAutoHyphens w:val="true"/>
        <w:bidi w:val="0"/>
        <w:spacing w:before="89" w:after="0"/>
        <w:ind w:hanging="0" w:left="0" w:right="0"/>
        <w:jc w:val="both"/>
        <w:rPr/>
      </w:pPr>
      <w:r>
        <w:rPr/>
        <w:t xml:space="preserve"> </w:t>
      </w:r>
      <w:r>
        <w:rPr/>
        <w:t>принявшего решение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hanging="0" w:left="6250"/>
        <w:jc w:val="left"/>
        <w:rPr/>
      </w:pPr>
      <w:r>
        <w:rPr>
          <w:sz w:val="28"/>
        </w:rPr>
        <w:t xml:space="preserve">Приложение № 4 к Административному регламенту, утвержденному постановлением Администрации Вилючинского городского округа от 27.02.2025 г. № 140 </w:t>
      </w:r>
    </w:p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Heading1"/>
        <w:widowControl w:val="false"/>
        <w:numPr>
          <w:ilvl w:val="0"/>
          <w:numId w:val="7"/>
        </w:numPr>
        <w:suppressAutoHyphens w:val="true"/>
        <w:bidi w:val="0"/>
        <w:spacing w:before="1" w:after="0"/>
        <w:ind w:hanging="0" w:left="0" w:right="0"/>
        <w:jc w:val="center"/>
        <w:rPr/>
      </w:pPr>
      <w:r>
        <w:rPr/>
        <w:t>Форма решения о заключении договора передачи жилого помещения в собственность граждан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" w:after="0"/>
        <w:ind w:hanging="3793" w:left="4512" w:right="718"/>
        <w:rPr>
          <w:sz w:val="20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136" w:after="0"/>
        <w:ind w:left="2091" w:right="203"/>
        <w:jc w:val="center"/>
        <w:rPr>
          <w:sz w:val="24"/>
        </w:rPr>
      </w:pPr>
      <w:r>
        <w:rPr>
          <w:sz w:val="24"/>
        </w:rPr>
        <w:t>Кому:</w:t>
      </w:r>
    </w:p>
    <w:p>
      <w:pPr>
        <w:pStyle w:val="BodyText"/>
        <w:spacing w:before="8" w:after="0"/>
        <w:rPr>
          <w:sz w:val="21"/>
        </w:rPr>
      </w:pPr>
      <w:r>
        <w:rPr>
          <w:sz w:val="21"/>
        </w:rPr>
      </w:r>
    </w:p>
    <w:p>
      <w:pPr>
        <w:pStyle w:val="Normal"/>
        <w:spacing w:lineRule="exact" w:line="269"/>
        <w:ind w:left="5809" w:right="0"/>
        <w:rPr/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</w:r>
    </w:p>
    <w:p>
      <w:pPr>
        <w:pStyle w:val="Normal"/>
        <w:spacing w:lineRule="exact" w:line="248"/>
        <w:ind w:left="5809" w:right="0"/>
        <w:rPr>
          <w:sz w:val="24"/>
        </w:rPr>
      </w:pPr>
      <w:r>
        <w:rPr>
          <w:sz w:val="24"/>
        </w:rPr>
        <w:t>/Представитель:</w:t>
      </w:r>
    </w:p>
    <w:p>
      <w:pPr>
        <w:pStyle w:val="BodyText"/>
        <w:spacing w:before="5" w:after="0"/>
        <w:rPr>
          <w:sz w:val="21"/>
        </w:rPr>
      </w:pPr>
      <w:r>
        <w:rPr>
          <w:sz w:val="21"/>
        </w:rPr>
      </w:r>
    </w:p>
    <w:p>
      <w:pPr>
        <w:pStyle w:val="Normal"/>
        <w:spacing w:lineRule="exact" w:line="247"/>
        <w:ind w:left="5809" w:right="0"/>
        <w:rPr/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Normal"/>
        <w:spacing w:lineRule="exact" w:line="274" w:before="90" w:after="0"/>
        <w:ind w:left="124" w:right="131"/>
        <w:jc w:val="center"/>
        <w:rPr>
          <w:sz w:val="24"/>
        </w:rPr>
      </w:pPr>
      <w:r>
        <w:rPr>
          <w:b/>
          <w:sz w:val="24"/>
        </w:rPr>
        <w:t>РЕШЕНИЕ</w:t>
      </w:r>
    </w:p>
    <w:p>
      <w:pPr>
        <w:pStyle w:val="Normal"/>
        <w:spacing w:lineRule="exact" w:line="274" w:before="90" w:after="0"/>
        <w:ind w:left="124" w:right="131"/>
        <w:jc w:val="center"/>
        <w:rPr>
          <w:sz w:val="24"/>
        </w:rPr>
      </w:pPr>
      <w:r>
        <w:rPr>
          <w:b/>
          <w:sz w:val="24"/>
        </w:rPr>
        <w:t>о заключении договора передачи жилого помещения в собственность граждан</w:t>
      </w:r>
    </w:p>
    <w:p>
      <w:pPr>
        <w:pStyle w:val="Normal"/>
        <w:tabs>
          <w:tab w:val="clear" w:pos="1134"/>
          <w:tab w:val="left" w:pos="3252" w:leader="none"/>
          <w:tab w:val="left" w:pos="3710" w:leader="none"/>
          <w:tab w:val="left" w:pos="7647" w:leader="none"/>
        </w:tabs>
        <w:spacing w:lineRule="exact" w:line="274"/>
        <w:ind w:left="230" w:right="0"/>
        <w:jc w:val="center"/>
        <w:rPr>
          <w:sz w:val="21"/>
        </w:rPr>
      </w:pPr>
      <w:r>
        <w:rPr>
          <w:sz w:val="24"/>
        </w:rPr>
        <w:t xml:space="preserve">от№ 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spacing w:before="90" w:after="0"/>
        <w:ind w:left="1188" w:right="0"/>
        <w:jc w:val="center"/>
        <w:rPr>
          <w:b/>
          <w:sz w:val="27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аренду</w:t>
      </w:r>
    </w:p>
    <w:p>
      <w:pPr>
        <w:pStyle w:val="BodyText"/>
        <w:spacing w:before="3" w:after="0"/>
        <w:rPr>
          <w:b/>
          <w:sz w:val="27"/>
        </w:rPr>
      </w:pPr>
      <w:r>
        <w:rPr>
          <w:b/>
          <w:sz w:val="27"/>
        </w:rPr>
      </w:r>
    </w:p>
    <w:p>
      <w:pPr>
        <w:pStyle w:val="Normal"/>
        <w:widowControl w:val="false"/>
        <w:tabs>
          <w:tab w:val="clear" w:pos="1134"/>
          <w:tab w:val="left" w:pos="850" w:leader="none"/>
          <w:tab w:val="left" w:pos="10205" w:leader="none"/>
        </w:tabs>
        <w:suppressAutoHyphens w:val="true"/>
        <w:bidi w:val="0"/>
        <w:spacing w:before="0" w:after="0"/>
        <w:ind w:firstLine="850" w:left="0" w:right="0"/>
        <w:jc w:val="left"/>
        <w:rPr>
          <w:w w:val="99"/>
          <w:sz w:val="26"/>
          <w:u w:val="single"/>
        </w:rPr>
      </w:pPr>
      <w:r>
        <w:rPr>
          <w:sz w:val="26"/>
        </w:rPr>
        <w:t xml:space="preserve">По результатам рассмотрения заявления от </w:t>
      </w:r>
      <w:r>
        <w:rPr>
          <w:sz w:val="26"/>
          <w:u w:val="none"/>
        </w:rPr>
        <w:t xml:space="preserve">« _____» ________________ 20 __ г. № ________ </w:t>
      </w:r>
      <w:r>
        <w:rPr>
          <w:sz w:val="26"/>
        </w:rPr>
        <w:t xml:space="preserve">(Заявитель ___________________________) и приложенных документов принято решение о заключении договора передачи жилого помещения в собственность граждан. Проект договора о передаче жилого помещения в собственность граждан (далее-Договор) прилагается. Подлинник Договора можно получить по адресу________________. </w:t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rPr>
          <w:sz w:val="28"/>
          <w:szCs w:val="28"/>
        </w:rPr>
      </w:pPr>
      <w:r>
        <w:rPr>
          <w:sz w:val="28"/>
          <w:szCs w:val="28"/>
        </w:rPr>
        <w:t>Приложение: Договор .</w:t>
      </w:r>
    </w:p>
    <w:p>
      <w:pPr>
        <w:pStyle w:val="BodyText"/>
        <w:spacing w:before="1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1" w:after="0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p>
      <w:pPr>
        <w:pStyle w:val="Normal"/>
        <w:tabs>
          <w:tab w:val="clear" w:pos="1134"/>
          <w:tab w:val="left" w:pos="6277" w:leader="none"/>
        </w:tabs>
        <w:spacing w:before="1" w:after="0"/>
        <w:ind w:left="137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1134"/>
          <w:tab w:val="left" w:pos="6277" w:leader="none"/>
        </w:tabs>
        <w:suppressAutoHyphens w:val="true"/>
        <w:bidi w:val="0"/>
        <w:spacing w:before="1" w:after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Должность, ФИО сотрудника, </w:t>
      </w:r>
    </w:p>
    <w:p>
      <w:pPr>
        <w:pStyle w:val="Normal"/>
        <w:widowControl w:val="false"/>
        <w:tabs>
          <w:tab w:val="clear" w:pos="1134"/>
          <w:tab w:val="left" w:pos="6277" w:leader="none"/>
        </w:tabs>
        <w:suppressAutoHyphens w:val="true"/>
        <w:bidi w:val="0"/>
        <w:spacing w:before="1" w:after="0"/>
        <w:ind w:hanging="0" w:left="0" w:right="0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принявшего решение</w:t>
      </w:r>
    </w:p>
    <w:sectPr>
      <w:headerReference w:type="default" r:id="rId10"/>
      <w:headerReference w:type="first" r:id="rId11"/>
      <w:footnotePr>
        <w:numFmt w:val="decimal"/>
      </w:footnotePr>
      <w:type w:val="nextPage"/>
      <w:pgSz w:w="11906" w:h="16838"/>
      <w:pgMar w:left="1134" w:right="567" w:gutter="0" w:header="431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57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59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32"/>
      <w:numFmt w:val="bullet"/>
      <w:lvlText w:val="-"/>
      <w:lvlJc w:val="left"/>
      <w:pPr>
        <w:tabs>
          <w:tab w:val="num" w:pos="0"/>
        </w:tabs>
        <w:ind w:left="1446" w:hanging="36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5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>
    <w:name w:val="Norma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2"/>
      </w:numPr>
      <w:ind w:hanging="0" w:left="124" w:right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/>
    <w:rPr>
      <w:sz w:val="28"/>
      <w:szCs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DE09-3641-42DA-AE37-EDF95761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61</Pages>
  <Words>13459</Words>
  <Characters>102461</Characters>
  <CharactersWithSpaces>115235</CharactersWithSpaces>
  <Paragraphs>931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2024-12-13T06:08:00Z</dcterms:created>
  <dc:creator>Кузнецов Виталий Геннадиевич</dc:creator>
  <dc:description/>
  <dc:language>ru-RU</dc:language>
  <cp:lastModifiedBy/>
  <dcterms:modified xsi:type="dcterms:W3CDTF">2025-02-28T09:21:50Z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