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14 января 2025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8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Предоставление разрешения на осуществление земляных работ»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решением Думы Вилючинского городского округа закрытого административно-территориального образования города Вилючинска Камчатского края от 18.10.2017 № 173/58-6 «Об утверждении Правил благоустройства территорий Вилючинского городского округа»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2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Предоставление разрешения на осуществление земляных работ».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 xml:space="preserve"> 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19.06.2018 г. № 591 «Об утверждении порядка выдачи разрешения на осуществление земляных работ на территории Вилючинского городского округа».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2292985" cy="882650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Головчак Игорь Васильевич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Предоставление разрешения на осуществление земляных работ»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Предоставление разрешения на осуществление земляных работ»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индивидуальным предпринимателям, юридическим лицам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разрешения на осуществление земляных работ.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осуществление земляных работ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осуществление земляных работ (документ на бумажном носителе или документ в электронной форме)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отказе в исправлении опечаток и (или) ошибок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продлением разрешения на осуществление земляных работ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продлении разрешения на осуществление земляных работ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осуществление земляных работ при проведении аварийного ремонта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осуществление земляных работ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закрытием разрешения на осуществление земляных работ результатом предоставления Услуги является решение о закрытии разрешения на осуществление земляных работ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 электронной почте, в Органе местного самоуправления, посредством Единого портала, в МФЦ.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10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осуществление земляных работ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не принадлежащем заявителю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земельный участок принадлежит заявителю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продлением разрешения на осуществление земляных работ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осуществление земляных работ при проведении аварийного ремонта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закрытием разрешения на осуществление земляных работ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выполнение технических условий,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выполнение технических условий,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выполнение технических условий,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выполнение технических условий,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согласование на проведение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организаций (собственников), эксплуатирующих подземные коммуникации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согласование правообладателя земельного участка на проведение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месторасположение объекта</w:t>
      </w:r>
      <w:r>
        <w:rPr>
          <w:sz w:val="28"/>
          <w:szCs w:val="28"/>
          <w:lang w:val="en-US"/>
        </w:rPr>
        <w:t>, – схема организации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документ изготовлен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для предоставления разрешения на осуществление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электронной почты: скан-образ;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выполнение технических условий</w:t>
      </w:r>
      <w:r>
        <w:rPr>
          <w:sz w:val="28"/>
          <w:szCs w:val="28"/>
          <w:lang w:val="en-US"/>
        </w:rPr>
        <w:t>, – договор о подключении (технологическом присоединении) к сетям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Технические условия для подключения к сетям инженерно-технического обеспечения»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эксплуатирующие организации»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планируемом сносе»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вырубку зеленых насаждений»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установку и эксплуатацию рекламной конструкции»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Подразделение ГИБДД»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продлении разрешения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календарный график производства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проект производства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невозможность выполнения работ в заявленные сроки;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6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продлении разрешения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 рабочих дня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осуществление земляных работ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предоставления разрешения на осуществление земляных работ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гарантийное письмо по восстановлению покрытия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 о назначении работника, ответственного за производство земляных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на проведение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схема участка работ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согласование на проведение земляных работ</w:t>
      </w:r>
      <w:r>
        <w:rPr>
          <w:sz w:val="28"/>
          <w:szCs w:val="28"/>
          <w:lang w:val="en-US"/>
        </w:rPr>
        <w:t>, – согласование организаций (собственников), эксплуатирующих подземные коммуникации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на схеме организации земельного участка, изготовленной на топографической съемке с обозначением места проведения земляных 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разрешения на строительство, если 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в случаях, установленных статьей 51 Градостроительного кодекса Российской Федерации, предусмотрено получение разрешения на строительство;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производство земляных работ осуществлялось до обращения заявителя за получением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ответ на межведомственный запрос свидетельствует об отсутствии документа и (или) информации, необходимых для выдачи разрешения;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документы, обязанность по предоставлению которых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осуществление земляных работ;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решение о закрытии разрешения на осуществление земляных работ</w:t>
      </w:r>
      <w:r>
        <w:rPr>
          <w:sz w:val="28"/>
          <w:szCs w:val="28"/>
          <w:lang w:val="en-US"/>
        </w:rPr>
        <w:t xml:space="preserve">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посредством электронной почты, в Органе местного самоуправления,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посредством Единого портала, в МФЦ, по электронной почте,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http://do.gosuslugi.ru, посредством официального сайта Органа местного самоуправления в сети «Интернет».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при личном обращении в Орган местного самоуправления.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от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разрешения на осуществление земляных работ»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принадлежит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принадлежит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принадлежит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принадлежит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земельный участок принадлежит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не принадлежащем заявителю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представителя, земельный участок принадлежит заявителю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Продление разрешения на осуществление земляных работ»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 xml:space="preserve">, заявитель обратился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разрешения на осуществление земляных работ при проведении аварийного ремонта»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Закрытие разрешения на осуществление земляных работ»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разрешения на осуществление земляных работ»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Земельный участок принадлежит заявителю?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Земельный участок не принадлежащем заявителю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Земельный участок принадлежит заявителю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Продление разрешения на осуществление земляных работ»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Какая причина продления разрешения?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Продление сроков проведения работ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Изменение вида работ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Изменение подрядной организации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разрешения на осуществление земляных работ при проведении аварийного ремонта»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Закрытие разрешения на осуществление земляных работ»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от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3"/>
        <w:gridCol w:w="7662"/>
      </w:tblGrid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Продление разрешения на осуществление земляных работ»</w:t>
            </w:r>
          </w:p>
        </w:tc>
      </w:tr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Какая причина продления разрешения?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Продление сроков проведения работ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ы</w:t>
            </w:r>
            <w:r>
              <w:rPr>
                <w:b/>
                <w:lang w:val="en-US"/>
              </w:rPr>
              <w:t xml:space="preserve">),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Документы для предоставления разрешения на осуществление земляных работ: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календарный график производства земляных работ.</w:t>
            </w:r>
            <w:r>
              <w:rPr>
                <w:szCs w:val="20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  <w:r>
              <w:rPr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Сведения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lang w:val="en-US"/>
              </w:rPr>
              <w:t>: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сведения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не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предусмотрены</w:t>
            </w:r>
            <w:r>
              <w:rPr>
                <w:szCs w:val="20"/>
                <w:lang w:val="en-US"/>
              </w:rPr>
              <w:t>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я</w:t>
            </w:r>
            <w:r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отказа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Изменение вида работ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ы</w:t>
            </w:r>
            <w:r>
              <w:rPr>
                <w:b/>
                <w:lang w:val="en-US"/>
              </w:rPr>
              <w:t xml:space="preserve">),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Документы для предоставления разрешения на осуществление земляных работ: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проект производства работ.</w:t>
            </w:r>
            <w:r>
              <w:rPr>
                <w:szCs w:val="20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  <w:r>
              <w:rPr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Сведения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lang w:val="en-US"/>
              </w:rPr>
              <w:t>: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сведения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не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предусмотрены</w:t>
            </w:r>
            <w:r>
              <w:rPr>
                <w:szCs w:val="20"/>
                <w:lang w:val="en-US"/>
              </w:rPr>
              <w:t>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я</w:t>
            </w:r>
            <w:r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отказа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Изменение подрядной организации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ы</w:t>
            </w:r>
            <w:r>
              <w:rPr>
                <w:b/>
                <w:lang w:val="en-US"/>
              </w:rPr>
              <w:t xml:space="preserve">),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Документы для предоставления разрешения на осуществление земляных работ: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договор на проведение работ.</w:t>
            </w:r>
            <w:r>
              <w:rPr>
                <w:szCs w:val="20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  <w:r>
              <w:rPr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Сведения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lang w:val="en-US"/>
              </w:rPr>
              <w:t>: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сведения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не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предусмотрены</w:t>
            </w:r>
            <w:r>
              <w:rPr>
                <w:szCs w:val="20"/>
                <w:lang w:val="en-US"/>
              </w:rPr>
              <w:t>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я</w:t>
            </w:r>
            <w:r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отказа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</w:tbl>
    <w:p>
      <w:pPr>
        <w:pStyle w:val="Normal"/>
        <w:keepNext w:val="true"/>
        <w:spacing w:before="0"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3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от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осуществление земляных работ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разрешение на проведение земляных работ.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сроки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окончания: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Основание для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договор работодателя с заказчиком: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После окончания проведения земляных работ обязуется(юсь) выполнить работы по восстановлению нарушенного благоустройства территории.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13 – 18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осуществление земляных работ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уполномоченного представителя (представителя)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подтверждающий полномочия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подтверждающего полномочия представителя: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19 – 24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осуществление земляных работ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продлить разрешение на проведение земляных работ.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сроки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окончания: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Основание для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договор работодателя с заказчиком: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25 – 30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осуществление земляных работ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разрешение на проведение земляных работ при проведении аварийного ремонта.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сроки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окончания: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Основание для проведения заявленных работ: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договор работодателя с заказчиком: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После окончания проведения земляных работ обязуется(юсь) выполнить работы по восстановлению нарушенного благоустройства территории.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31 – 36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осуществление земляных работ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закрыть разрешение на проведение земляных работ.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 документа: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Перечень прилагаемых документов.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sectPr>
          <w:headerReference w:type="default" r:id="rId7"/>
          <w:headerReference w:type="first" r:id="rId8"/>
          <w:footnotePr>
            <w:numFmt w:val="decimal"/>
          </w:footnotePr>
          <w:type w:val="nextPage"/>
          <w:pgSz w:w="11906" w:h="16838"/>
          <w:pgMar w:left="1134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>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hanging="0" w:left="6250"/>
        <w:jc w:val="left"/>
        <w:rPr/>
      </w:pPr>
      <w:r>
        <w:rPr>
          <w:sz w:val="28"/>
        </w:rPr>
        <w:t xml:space="preserve">Приложение № 4 к Административному регламенту, утвержденному постановлением Администрации Вилючинского городского округа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pBdr/>
        <w:spacing w:lineRule="atLeast" w:line="57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b/>
          <w:color w:val="000000"/>
          <w:spacing w:val="40"/>
          <w:sz w:val="28"/>
        </w:rPr>
        <w:t>РАЗРЕШЕНИЕ</w:t>
      </w:r>
    </w:p>
    <w:p>
      <w:pPr>
        <w:pStyle w:val="Normal"/>
        <w:pBdr/>
        <w:spacing w:lineRule="atLeast" w:line="57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pacing w:val="40"/>
          <w:sz w:val="24"/>
        </w:rPr>
        <w:t xml:space="preserve"> </w:t>
      </w:r>
      <w:r>
        <w:rPr>
          <w:rFonts w:eastAsia="Times New Roman" w:cs="Times New Roman"/>
          <w:b/>
          <w:color w:val="000000"/>
          <w:spacing w:val="40"/>
          <w:sz w:val="28"/>
        </w:rPr>
        <w:t>НА ОСУЩЕСТВЛЕНИЕ ЗЕМЛЯНЫХ РАБОТ</w:t>
      </w:r>
    </w:p>
    <w:tbl>
      <w:tblPr>
        <w:tblStyle w:val="686"/>
        <w:tblW w:w="935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64"/>
        <w:gridCol w:w="2099"/>
        <w:gridCol w:w="687"/>
        <w:gridCol w:w="3416"/>
        <w:gridCol w:w="1899"/>
        <w:gridCol w:w="688"/>
      </w:tblGrid>
      <w:tr>
        <w:trPr/>
        <w:tc>
          <w:tcPr>
            <w:tcW w:w="564" w:type="dxa"/>
            <w:tcBorders/>
            <w:vAlign w:val="bottom"/>
          </w:tcPr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2099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87" w:type="dxa"/>
            <w:tcBorders/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3416" w:type="dxa"/>
            <w:tcBorders/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113"/>
              <w:jc w:val="righ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88" w:type="dxa"/>
            <w:tcBorders/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tbl>
      <w:tblPr>
        <w:tblStyle w:val="686"/>
        <w:tblW w:w="935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54"/>
      </w:tblGrid>
      <w:tr>
        <w:trPr/>
        <w:tc>
          <w:tcPr>
            <w:tcW w:w="9354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 w:before="0" w:after="0"/>
              <w:ind w:hanging="0" w:left="720" w:right="425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  <w:p>
            <w:pPr>
              <w:pStyle w:val="Normal"/>
              <w:pBdr/>
              <w:spacing w:lineRule="atLeast" w:line="276"/>
              <w:ind w:hanging="0" w:left="720" w:right="425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9354" w:type="dxa"/>
            <w:tcBorders>
              <w:top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/>
              <w:ind w:hanging="0" w:left="72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(орган осуществляющий выдачу разрешения на производство земляных работ)</w:t>
            </w:r>
          </w:p>
        </w:tc>
      </w:tr>
    </w:tbl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в соответствии со статьей 14 Правил благоустройства территорий Вилючинского городского округа, утвержденных решением Думы Вилючинского городского округа от 18.10.2017 № 173/58-6, разрешает:</w:t>
      </w:r>
    </w:p>
    <w:tbl>
      <w:tblPr>
        <w:tblStyle w:val="686"/>
        <w:tblW w:w="935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54"/>
      </w:tblGrid>
      <w:tr>
        <w:trPr/>
        <w:tc>
          <w:tcPr>
            <w:tcW w:w="9354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9354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72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(полное наименование организации, почтовый индекс и адрес, адрес электронной почты, номер телефона)</w:t>
            </w:r>
          </w:p>
        </w:tc>
      </w:tr>
      <w:tr>
        <w:trPr/>
        <w:tc>
          <w:tcPr>
            <w:tcW w:w="9354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производство земляных работ:</w:t>
            </w:r>
          </w:p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9354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72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(наименование производимых работ)</w:t>
            </w:r>
          </w:p>
        </w:tc>
      </w:tr>
      <w:tr>
        <w:trPr/>
        <w:tc>
          <w:tcPr>
            <w:tcW w:w="9354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по адресу (местоположению)</w:t>
            </w:r>
          </w:p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9354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72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(указать адрес или адресные ориентиры, номер кадастрового квартала)</w:t>
            </w:r>
          </w:p>
        </w:tc>
      </w:tr>
    </w:tbl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в соответствии с рабочей документацией, в границах, указанных в схеме осуществления земляных работ, являющейся приложением к настоящему разрешению (ордеру).</w:t>
      </w:r>
    </w:p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b/>
          <w:color w:val="000000"/>
          <w:sz w:val="24"/>
        </w:rPr>
        <w:t>Начало работ:</w:t>
      </w:r>
      <w:r>
        <w:rPr>
          <w:rFonts w:eastAsia="Times New Roman" w:cs="Times New Roman"/>
          <w:color w:val="000000"/>
          <w:sz w:val="24"/>
        </w:rPr>
        <w:t xml:space="preserve"> с «___» _____ 20__г. </w:t>
      </w:r>
      <w:r>
        <w:rPr>
          <w:rFonts w:eastAsia="Times New Roman" w:cs="Times New Roman"/>
          <w:b/>
          <w:color w:val="000000"/>
          <w:sz w:val="24"/>
        </w:rPr>
        <w:t>Окончание работ</w:t>
      </w:r>
      <w:r>
        <w:rPr>
          <w:rFonts w:eastAsia="Times New Roman" w:cs="Times New Roman"/>
          <w:color w:val="000000"/>
          <w:sz w:val="24"/>
        </w:rPr>
        <w:t>: до «__» _____ 20__г.</w:t>
      </w:r>
    </w:p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b/>
          <w:color w:val="000000"/>
          <w:sz w:val="24"/>
        </w:rPr>
        <w:t>Срок восстановления нарушенного благоустройства в месте производства земляных работ:</w:t>
      </w:r>
    </w:p>
    <w:p>
      <w:pPr>
        <w:pStyle w:val="Normal"/>
        <w:pBdr/>
        <w:spacing w:lineRule="atLeast" w:line="57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до «__» ______ 20__ г.</w:t>
      </w:r>
    </w:p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Примечание:</w:t>
      </w:r>
    </w:p>
    <w:p>
      <w:pPr>
        <w:pStyle w:val="Normal"/>
        <w:pBdr/>
        <w:spacing w:lineRule="atLeast" w:line="57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 </w:t>
      </w:r>
      <w:r>
        <w:rPr>
          <w:rFonts w:eastAsia="Times New Roman" w:cs="Times New Roman"/>
          <w:color w:val="000000"/>
          <w:sz w:val="24"/>
        </w:rPr>
        <w:t xml:space="preserve">1. Перед началом проведения земляных работ на территории Вилючинского городского округа, необходимо обратиться в </w:t>
      </w:r>
      <w:r>
        <w:rPr>
          <w:rFonts w:eastAsia="Times New Roman" w:cs="Times New Roman"/>
          <w:b/>
          <w:color w:val="000000"/>
          <w:sz w:val="24"/>
        </w:rPr>
        <w:t>отдел муниципального контроля управления правового обеспечения и контроля администрации Вилючинского городского округа</w:t>
      </w:r>
      <w:r>
        <w:rPr>
          <w:rFonts w:eastAsia="Times New Roman" w:cs="Times New Roman"/>
          <w:color w:val="000000"/>
          <w:sz w:val="24"/>
        </w:rPr>
        <w:t xml:space="preserve"> для составления акта о состоянии территории.</w:t>
      </w:r>
    </w:p>
    <w:p>
      <w:pPr>
        <w:pStyle w:val="Normal"/>
        <w:pBdr/>
        <w:spacing w:lineRule="atLeast" w:line="57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2. Земляные работы выполнить в указанные сроки. По окончанию земляных работ восстановить в полном объеме элементы благоустройства территории.</w:t>
      </w:r>
    </w:p>
    <w:p>
      <w:pPr>
        <w:pStyle w:val="Normal"/>
        <w:pBdr/>
        <w:spacing w:lineRule="atLeast" w:line="57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До полного восстановления благоустройства обеспечить безопасность движения транспорта и пешеходов.</w:t>
      </w:r>
    </w:p>
    <w:p>
      <w:pPr>
        <w:pStyle w:val="Normal"/>
        <w:pBdr/>
        <w:spacing w:lineRule="atLeast" w:line="57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tbl>
      <w:tblPr>
        <w:tblStyle w:val="686"/>
        <w:tblW w:w="958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818"/>
        <w:gridCol w:w="142"/>
        <w:gridCol w:w="1985"/>
        <w:gridCol w:w="282"/>
        <w:gridCol w:w="2126"/>
        <w:gridCol w:w="228"/>
      </w:tblGrid>
      <w:tr>
        <w:trPr/>
        <w:tc>
          <w:tcPr>
            <w:tcW w:w="4818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354" w:type="dxa"/>
            <w:gridSpan w:val="2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(должность уполномоченного сотрудника лица органа, осуществляющего выдачу разрешения на осуществление земляных работ)</w:t>
            </w:r>
          </w:p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24"/>
              </w:rPr>
              <w:t>" ___" ____________ 20____ г.</w:t>
            </w:r>
          </w:p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24"/>
              </w:rPr>
              <w:t>М.П.</w:t>
            </w:r>
          </w:p>
        </w:tc>
        <w:tc>
          <w:tcPr>
            <w:tcW w:w="142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(расшифровка подписи)</w:t>
            </w:r>
          </w:p>
        </w:tc>
        <w:tc>
          <w:tcPr>
            <w:tcW w:w="228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color w:val="000000"/>
          <w:sz w:val="24"/>
        </w:rPr>
        <w:t>Действие настоящего разрешения (ордера) продлено до «___» ____________ 20__ г.</w:t>
      </w:r>
    </w:p>
    <w:tbl>
      <w:tblPr>
        <w:tblStyle w:val="686"/>
        <w:tblW w:w="95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819"/>
        <w:gridCol w:w="283"/>
        <w:gridCol w:w="1558"/>
        <w:gridCol w:w="283"/>
        <w:gridCol w:w="1814"/>
        <w:gridCol w:w="749"/>
      </w:tblGrid>
      <w:tr>
        <w:trPr/>
        <w:tc>
          <w:tcPr>
            <w:tcW w:w="4819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563" w:type="dxa"/>
            <w:gridSpan w:val="2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(должность уполномоченного сотрудника лица органа, осуществляющего выдачу разрешения на осуществление земляных работ)</w:t>
            </w:r>
          </w:p>
          <w:p>
            <w:pPr>
              <w:pStyle w:val="Normal"/>
              <w:pBdr/>
              <w:spacing w:lineRule="atLeast" w:line="276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24"/>
              </w:rPr>
              <w:t>" _______" ______________ 20____ г.</w:t>
            </w:r>
          </w:p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24"/>
              </w:rPr>
              <w:t>М.П.</w:t>
            </w:r>
          </w:p>
        </w:tc>
        <w:tc>
          <w:tcPr>
            <w:tcW w:w="283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Normal"/>
              <w:pBdr/>
              <w:spacing w:lineRule="atLeast" w:line="276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Liberation Sans" w:cs="Liberation Sans" w:ascii="Liberation Sans" w:hAnsi="Liberation Sans"/>
                <w:color w:val="000000"/>
                <w:sz w:val="18"/>
              </w:rPr>
              <w:t>(расшифровка подписи)</w:t>
            </w:r>
          </w:p>
        </w:tc>
        <w:tc>
          <w:tcPr>
            <w:tcW w:w="749" w:type="dxa"/>
            <w:tcBorders/>
          </w:tcPr>
          <w:p>
            <w:pPr>
              <w:pStyle w:val="Normal"/>
              <w:pBdr/>
              <w:spacing w:lineRule="atLeast" w:line="276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shd w:val="ni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br w:type="page"/>
      </w:r>
    </w:p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tbl>
      <w:tblPr>
        <w:tblStyle w:val="686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0"/>
        <w:gridCol w:w="3673"/>
      </w:tblGrid>
      <w:tr>
        <w:trPr/>
        <w:tc>
          <w:tcPr>
            <w:tcW w:w="5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pBdr/>
              <w:spacing w:lineRule="atLeast" w:line="276" w:before="0" w:after="0"/>
              <w:ind w:hanging="0" w:left="0" w:righ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ВНИМАНИЕ!</w:t>
            </w:r>
          </w:p>
          <w:p>
            <w:pPr>
              <w:pStyle w:val="Normal"/>
              <w:pBdr/>
              <w:spacing w:lineRule="atLeast" w:line="276"/>
              <w:ind w:hanging="0" w:left="0" w:right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Перед началом работ необходимо обратиться в орган, осуществляющий муниципальный контроль на территории Вилючинского городского округа, для составления акта состояния территории до начала осуществления земляных работ</w:t>
            </w:r>
          </w:p>
        </w:tc>
        <w:tc>
          <w:tcPr>
            <w:tcW w:w="3673" w:type="dxa"/>
            <w:tcBorders>
              <w:left w:val="single" w:sz="18" w:space="0" w:color="000000"/>
            </w:tcBorders>
            <w:tcMar>
              <w:right w:w="0" w:type="dxa"/>
            </w:tcMar>
          </w:tcPr>
          <w:p>
            <w:pPr>
              <w:pStyle w:val="Normal"/>
              <w:pBdr/>
              <w:spacing w:lineRule="atLeast" w:line="276" w:before="0" w:after="0"/>
              <w:ind w:hanging="170" w:left="170" w:right="-57"/>
              <w:jc w:val="righ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Приложение к разрешению</w:t>
            </w:r>
          </w:p>
          <w:p>
            <w:pPr>
              <w:pStyle w:val="Normal"/>
              <w:pBdr/>
              <w:spacing w:lineRule="atLeast" w:line="276"/>
              <w:ind w:hanging="170" w:left="170" w:right="-57"/>
              <w:jc w:val="righ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на осуществление земляных работ от _____________ № _______</w:t>
            </w:r>
          </w:p>
        </w:tc>
      </w:tr>
    </w:tbl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pBdr/>
        <w:spacing w:lineRule="atLeast" w:line="57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b/>
          <w:color w:val="000000"/>
          <w:sz w:val="28"/>
        </w:rPr>
        <w:t>Ситуационный план места производства земляных работ</w:t>
      </w:r>
    </w:p>
    <w:p>
      <w:p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sectPr>
          <w:headerReference w:type="default" r:id="rId9"/>
          <w:headerReference w:type="first" r:id="rId10"/>
          <w:footnotePr>
            <w:numFmt w:val="decimal"/>
          </w:footnotePr>
          <w:type w:val="nextPage"/>
          <w:pgSz w:w="11906" w:h="16838"/>
          <w:pgMar w:left="1701" w:right="850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pBdr/>
        <w:spacing w:lineRule="atLeast" w:line="57" w:before="0" w:after="0"/>
        <w:ind w:hanging="0" w:left="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hanging="0" w:left="6250"/>
        <w:jc w:val="left"/>
        <w:rPr/>
      </w:pPr>
      <w:r>
        <w:rPr>
          <w:sz w:val="28"/>
        </w:rPr>
        <w:t xml:space="preserve">Приложение № 5 к Административному регламенту, утвержденному постановлением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14.01.2025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28</w:t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проведение земляных работ с: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МБУ «Благоустройство Вилючинска»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560"/>
        <w:gridCol w:w="396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396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АО «Камчатэнергосервис»</w:t>
      </w:r>
      <w:r>
        <w:rPr>
          <w:sz w:val="28"/>
          <w:szCs w:val="28"/>
        </w:rPr>
        <w:t xml:space="preserve"> 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АО «Оборонэнерго»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ПАО «Ростелеком»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МКП ВГО «Вилючинский водоканал»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Правообладатель земельного участка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юридического лица - должность, наименование)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юр. лица - расшифровка подписи, для физ. лица – ФИО полностью)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АО «Воентелеком» 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"/>
        <w:gridCol w:w="4921"/>
        <w:gridCol w:w="215"/>
        <w:gridCol w:w="1701"/>
        <w:gridCol w:w="255"/>
        <w:gridCol w:w="2149"/>
        <w:gridCol w:w="217"/>
        <w:gridCol w:w="215"/>
      </w:tblGrid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(согласование /замечания / дополнительная информация)</w:t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5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4921" w:type="dxa"/>
            <w:tcBorders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3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jc w:val="lef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5" w:type="dxa"/>
            <w:tcBorders/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2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сотрудника, осуществляющего согласование разрешения)</w:t>
            </w:r>
          </w:p>
          <w:p>
            <w:pPr>
              <w:pStyle w:val="Style21"/>
              <w:rPr/>
            </w:pPr>
            <w:r>
              <w:rPr/>
              <w:t>" _______" ______________ 20____ г.</w:t>
            </w:r>
          </w:p>
          <w:p>
            <w:pPr>
              <w:pStyle w:val="Style22"/>
              <w:rPr>
                <w:sz w:val="19"/>
                <w:szCs w:val="25"/>
              </w:rPr>
            </w:pPr>
            <w:r>
              <w:rPr/>
              <w:t>М.П.</w:t>
            </w:r>
          </w:p>
        </w:tc>
        <w:tc>
          <w:tcPr>
            <w:tcW w:w="21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/>
          </w:tcPr>
          <w:p>
            <w:pPr>
              <w:pStyle w:val="Style21"/>
              <w:rPr>
                <w:sz w:val="19"/>
                <w:szCs w:val="25"/>
              </w:rPr>
            </w:pPr>
            <w:r>
              <w:rPr>
                <w:sz w:val="19"/>
                <w:szCs w:val="25"/>
              </w:rPr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>
            <w:pPr>
              <w:pStyle w:val="Style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headerReference w:type="default" r:id="rId11"/>
      <w:headerReference w:type="first" r:id="rId12"/>
      <w:footnotePr>
        <w:numFmt w:val="decimal"/>
      </w:footnotePr>
      <w:type w:val="nextPage"/>
      <w:pgSz w:w="11906" w:h="16838"/>
      <w:pgMar w:left="1701" w:right="707" w:gutter="0" w:header="0" w:top="99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Times New Roman CYR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185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Style21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22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LibreOffice/7.6.7.2$Linux_X86_64 LibreOffice_project/60$Build-2</Application>
  <AppVersion>15.0000</AppVersion>
  <Pages>192</Pages>
  <Words>50793</Words>
  <Characters>403137</Characters>
  <CharactersWithSpaces>450429</CharactersWithSpaces>
  <Paragraphs>3059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cp:lastPrinted>2025-01-15T12:13:24Z</cp:lastPrinted>
  <dcterms:modified xsi:type="dcterms:W3CDTF">2025-01-15T10:53:17Z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