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48640" cy="670560"/>
            <wp:effectExtent l="0" t="0" r="0" b="0"/>
            <wp:docPr id="1" name="Drawing 1" descr="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FCC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09 декабря 2024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1190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Федеральным законом от 13.03.2006 № 38-ФЗ «О рекламе»,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5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 xml:space="preserve"> 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13.06.2019 № 560 «Об утверждении административного регламента по предоставлению администрацией Вилючинского городского округа муниципальной услуги «Выдача разрешения на установку и эксплуатацию рекламной конструкции».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5"/>
        <w:gridCol w:w="3262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292985" cy="8826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И.В. Головчак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09.12.2024 № 1190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>
      <w:pPr>
        <w:pStyle w:val="Normal"/>
        <w:ind w:firstLine="70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left="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юридическим лицам, физическим лицам, индивидуальным предпринимателям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>
        <w:rPr>
          <w:sz w:val="28"/>
          <w:szCs w:val="28"/>
          <w:lang w:eastAsia="ru-RU"/>
        </w:rPr>
        <w:t>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ind w:hanging="0" w:left="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установку и эксплуатацию рекламной конструкции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аннулированием разрешения на установку и эксплуатацию рекламной конструкции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Органе местного самоуправления, посредством Единого портала, почтовым отправлением.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12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уплачивается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государственная пошлина</w:t>
      </w:r>
      <w:r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Сведения о размере платы и способах ее уплаты размещены на Едином портале.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Государственная пошлина </w:t>
      </w:r>
      <w:r>
        <w:rPr>
          <w:sz w:val="28"/>
          <w:szCs w:val="28"/>
          <w:lang w:eastAsia="ru-RU"/>
        </w:rPr>
        <w:t>уплачивается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одним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способов</w:t>
      </w:r>
      <w:r>
        <w:rPr>
          <w:sz w:val="28"/>
          <w:szCs w:val="28"/>
          <w:lang w:val="en-US"/>
        </w:rPr>
        <w:t>: по реквизитам в банке, посредством Единого портала, в мобильном приложении банка.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установку и эксплуатацию рекламной конструкции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 xml:space="preserve">,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аннулированием разрешения на установку и эксплуатацию рекламной конструкции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обращается лично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12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технические характеристики рекламной конструкции, – проект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установленного формата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проектная документация, – эскиз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согласие на присоединение рекламной 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согласие собственника недвижимого имущества на присоединение к этому имуществу рекламной конструкции (документ нотариально удостоверен);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протокол общего собрания собственников помещений в многоквартирном доме (документ нотариально удостоверен);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уплату государственной пошлины, – платежный документ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3 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требований нормативных актов по безопасности движения транспорта;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нарушение внешнего архитектурного облика сложившейся застройки;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установки рекламной конструкции в заявленном месте схеме размещения рекламных конструкций;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договор на установку и эксплуатацию рекламной конструкции не соответствует требованиям, установленным в частях 5.1, 5.6, 5.7 статьи 19 Федерального закона от 13.03.2006 № 38-ФЗ  «О рекламе»;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государственная пошлина не уплачена.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также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отказывает заявителю в предоставлении Услуги при наличии оснований, приведенных в приложении № 2 к настоящему Административному регламенту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подписан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удостоверенная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аннулировании разрешения на установку и эксплуатацию рекламной конструкции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необходимость внесения изменений в разрешение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уведомление об отказе от дальнейшего использования разрешения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посредством заполнения интерактивной формы на Едином портале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прекращение договора на установку и эксплуатацию рекламной конструкции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аннулировании разрешения на установку и эксплуатацию рекламной конструкции;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(оригинал или нотариально удостоверенная копия)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(оригинал или нотариально удостоверенная копия)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(оригинал или копия)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(оригинал или копия)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представителя, – доверенность (оригинал или нотариально удостоверенная копия)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(оригинал или копия)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 заявителя, – паспорт гражданина Российской Федерации (оригинал или нотариально заверенная копия);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(оригинал)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(оригинал или копия)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документах, выданных в результате предоставления Услуги, отсутствуют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официального сайта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09.12.2024 № 1190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Выдача разрешения на установку и эксплуатацию рекламной конструкции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лично,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 xml:space="preserve">, обращается через представителя, 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Аннулирование разрешения на установку и эксплуатацию рекламной конструкции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(или) ошибок, допущенных в результате предоставления Услуги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обращается лично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5"/>
        <w:gridCol w:w="5956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Выдача разрешения на установку и эксплуатацию рекламной конструкции»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Обращается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Обращается через представителя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Особенности имущества и рекламной конструкции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не является единоличным собственником имущества, к которому присоединяется рекламная конструкция, либо имущество передано уполномоченному лицу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Рекламная конструкция присоединяется к общему имуществу собственников помещений в многоквартирном доме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Особенности отсутствуют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Аннулирование разрешения на установку и эксплуатацию рекламной конструкции»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Обращается через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Обращается лично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(или) ошибок, допущенных в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Обращается через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Обращается лично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09.12.2024 № 1190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3"/>
        <w:gridCol w:w="7662"/>
      </w:tblGrid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Выдача разрешения на установку и эксплуатацию рекламной конструкции»</w:t>
            </w:r>
          </w:p>
        </w:tc>
      </w:tr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Особенности имущества и рекламной конструкции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не является единоличным собственником имущества, к которому присоединяется рекламная конструкция, либо имущество передано уполномоченному лицу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ы</w:t>
            </w:r>
            <w:r>
              <w:rPr>
                <w:b/>
                <w:lang w:val="en-US"/>
              </w:rPr>
              <w:t xml:space="preserve">),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документы, подтверждающие согласие на присоединение рекламной конструкции: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согласие собственника недвижимого имущества на присоединение к этому имуществу рекламной конструкции.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Сведения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lang w:val="en-US"/>
              </w:rPr>
              <w:t>: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сведения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не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предусмотрены</w:t>
            </w:r>
            <w:r>
              <w:rPr>
                <w:szCs w:val="20"/>
                <w:lang w:val="en-US"/>
              </w:rPr>
              <w:t>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я</w:t>
            </w:r>
            <w:r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отказа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рекламная конструкция присоединяется к общему имуществу собственников помещений в многоквартирном доме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ы</w:t>
            </w:r>
            <w:r>
              <w:rPr>
                <w:b/>
                <w:lang w:val="en-US"/>
              </w:rPr>
              <w:t xml:space="preserve">),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документы, подтверждающие согласие на присоединение рекламной конструкции: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протокол общего собрания собственников помещений в многоквартирном доме.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Сведения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представляемые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lang w:val="en-US"/>
              </w:rPr>
              <w:t>: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сведения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не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предусмотрены</w:t>
            </w:r>
            <w:r>
              <w:rPr>
                <w:szCs w:val="20"/>
                <w:lang w:val="en-US"/>
              </w:rPr>
              <w:t>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Основание(я) отказа в предоставлении Услуги: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  <w:lang w:val="en-US"/>
              </w:rPr>
              <w:t>отсутствие согласия двух третей голосов от общего числа голосов собственников помещений в многоквартирном доме.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я</w:t>
            </w:r>
            <w:r>
              <w:rPr>
                <w:b/>
                <w:lang w:val="en-US"/>
              </w:rPr>
              <w:t xml:space="preserve">) </w:t>
            </w:r>
            <w:r>
              <w:rPr>
                <w:b/>
              </w:rPr>
              <w:t>отказа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приеме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  <w:lang w:val="en-US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Критерий(и) принятия решения о предоставлении Услуги: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наличие согласия двух третей голосов от общего числа голосов собственников помещений в многоквартирном доме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особенности отсутствуют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-</w:t>
            </w:r>
          </w:p>
        </w:tc>
      </w:tr>
    </w:tbl>
    <w:p>
      <w:pPr>
        <w:pStyle w:val="Normal"/>
        <w:keepNext w:val="true"/>
        <w:spacing w:before="0"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3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09.12.2024 № 1190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рекламной конструкции: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рекламной конструкции: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полей рекламной конструкции: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>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95</Pages>
  <Words>22779</Words>
  <Characters>179168</Characters>
  <CharactersWithSpaces>200473</CharactersWithSpaces>
  <Paragraphs>1704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2024-09-11T15:09:00Z</dcterms:created>
  <dc:creator>Кузнецов Виталий Геннадиевич</dc:creator>
  <dc:description/>
  <dc:language>ru-RU</dc:language>
  <cp:lastModifiedBy/>
  <dcterms:modified xsi:type="dcterms:W3CDTF">2024-12-10T10:19:01Z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