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overflowPunct w:val="true"/>
        <w:spacing w:lineRule="auto" w:line="240" w:before="0" w:after="0"/>
        <w:jc w:val="center"/>
        <w:textAlignment w:val="baseline"/>
        <w:outlineLvl w:val="3"/>
        <w:rPr>
          <w:rFonts w:ascii="Times New Roman" w:hAnsi="Times New Roman" w:eastAsia="Times New Roman" w:cs="Times New Roman"/>
          <w:smallCaps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mallCaps/>
          <w:sz w:val="28"/>
          <w:szCs w:val="20"/>
          <w:lang w:eastAsia="ru-RU"/>
        </w:rPr>
        <w:t xml:space="preserve">Администрация Вилючинского городского округа </w:t>
      </w:r>
    </w:p>
    <w:p>
      <w:pPr>
        <w:pStyle w:val="Normal"/>
        <w:keepNext w:val="true"/>
        <w:numPr>
          <w:ilvl w:val="0"/>
          <w:numId w:val="0"/>
        </w:numPr>
        <w:overflowPunct w:val="true"/>
        <w:spacing w:lineRule="auto" w:line="240" w:before="0" w:after="0"/>
        <w:jc w:val="center"/>
        <w:textAlignment w:val="baseline"/>
        <w:outlineLvl w:val="3"/>
        <w:rPr>
          <w:rFonts w:ascii="Times New Roman" w:hAnsi="Times New Roman" w:eastAsia="Times New Roman" w:cs="Times New Roman"/>
          <w:smallCaps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mallCaps/>
          <w:sz w:val="28"/>
          <w:szCs w:val="20"/>
          <w:lang w:eastAsia="ru-RU"/>
        </w:rPr>
        <w:t xml:space="preserve">закрытого административно-территориального образования </w:t>
      </w:r>
    </w:p>
    <w:p>
      <w:pPr>
        <w:pStyle w:val="Normal"/>
        <w:keepNext w:val="true"/>
        <w:numPr>
          <w:ilvl w:val="0"/>
          <w:numId w:val="0"/>
        </w:numPr>
        <w:overflowPunct w:val="true"/>
        <w:spacing w:lineRule="auto" w:line="240" w:before="0" w:after="0"/>
        <w:jc w:val="center"/>
        <w:textAlignment w:val="baseline"/>
        <w:outlineLvl w:val="3"/>
        <w:rPr>
          <w:rFonts w:ascii="Times New Roman" w:hAnsi="Times New Roman" w:eastAsia="Times New Roman" w:cs="Times New Roman"/>
          <w:smallCaps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mallCaps/>
          <w:sz w:val="28"/>
          <w:szCs w:val="20"/>
          <w:lang w:eastAsia="ru-RU"/>
        </w:rPr>
        <w:t>города Вилючинска 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overflowPunct w:val="true"/>
        <w:spacing w:lineRule="auto" w:line="240" w:before="0" w:after="0"/>
        <w:jc w:val="center"/>
        <w:textAlignment w:val="baseline"/>
        <w:outlineLvl w:val="0"/>
        <w:rPr>
          <w:rFonts w:ascii="Times New Roman" w:hAnsi="Times New Roman" w:eastAsia="Times New Roman" w:cs="Times New Roman"/>
          <w:b/>
          <w:b/>
          <w:spacing w:val="200"/>
          <w:sz w:val="4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pacing w:val="200"/>
          <w:sz w:val="40"/>
          <w:szCs w:val="20"/>
          <w:lang w:eastAsia="ru-RU"/>
        </w:rPr>
        <w:t>РАСПОРЯЖЕНИЕ</w:t>
      </w:r>
    </w:p>
    <w:p>
      <w:pPr>
        <w:pStyle w:val="Normal"/>
        <w:tabs>
          <w:tab w:val="clear" w:pos="708"/>
          <w:tab w:val="right" w:pos="9498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FFFFF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FFFFFF"/>
          <w:sz w:val="24"/>
          <w:szCs w:val="24"/>
          <w:lang w:eastAsia="ru-RU"/>
        </w:rPr>
        <w:t>28.04.2021                                                                                                                                70</w:t>
      </w:r>
    </w:p>
    <w:p>
      <w:pPr>
        <w:pStyle w:val="Normal"/>
        <w:tabs>
          <w:tab w:val="clear" w:pos="708"/>
          <w:tab w:val="right" w:pos="9498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01.12.2021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259</w:t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г. Вилючинск</w:t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4678" w:leader="none"/>
        </w:tabs>
        <w:spacing w:lineRule="auto" w:line="240" w:before="0" w:after="0"/>
        <w:ind w:right="482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 утверждении Плана мероприятий по </w:t>
      </w:r>
    </w:p>
    <w:p>
      <w:pPr>
        <w:pStyle w:val="Normal"/>
        <w:tabs>
          <w:tab w:val="clear" w:pos="708"/>
          <w:tab w:val="left" w:pos="4678" w:leader="none"/>
        </w:tabs>
        <w:spacing w:lineRule="auto" w:line="240" w:before="0" w:after="0"/>
        <w:ind w:right="482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противодействию коррупции в Вилючинском городском округе </w:t>
      </w:r>
    </w:p>
    <w:p>
      <w:pPr>
        <w:pStyle w:val="Normal"/>
        <w:tabs>
          <w:tab w:val="clear" w:pos="708"/>
          <w:tab w:val="left" w:pos="4678" w:leader="none"/>
        </w:tabs>
        <w:spacing w:lineRule="auto" w:line="240" w:before="0" w:after="0"/>
        <w:ind w:right="482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 2021-2024 годы  </w:t>
      </w:r>
    </w:p>
    <w:p>
      <w:pPr>
        <w:pStyle w:val="Normal"/>
        <w:widowControl w:val="false"/>
        <w:spacing w:lineRule="exact" w:line="322" w:before="0" w:after="0"/>
        <w:ind w:right="4678" w:hanging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 Федеральным законом от 25.12.2008 № 273-ФЗ «О противодействии коррупции», Указом Президента Российской Федерации от 16.08.2021 № 478 «О Национальном плане противодействия коррупции на 2021-2024 годы», Законом Камчатского края от 18.12.2008 № 192 «О противодействии коррупции в Камчатском крае», с Планом противодействия коррупции в Камчатском крае на 2021-2024 годы, утвержденным распоряжением Губернатора Камчатского края от 21.10.2021 № 642-Р  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ind w:left="0" w:right="-5" w:firstLine="709"/>
        <w:jc w:val="both"/>
        <w:rPr/>
      </w:pPr>
      <w:r>
        <w:rPr/>
        <w:t>Утвердить план мероприятий по противодействию коррупции в Вилючинском городском округе на 2021 – 2024 годы (далее – План) согласно приложению к настоящему распоряжению.</w:t>
      </w:r>
    </w:p>
    <w:p>
      <w:pPr>
        <w:pStyle w:val="ListParagraph"/>
        <w:numPr>
          <w:ilvl w:val="0"/>
          <w:numId w:val="1"/>
        </w:numPr>
        <w:ind w:left="0" w:right="-5" w:firstLine="709"/>
        <w:jc w:val="both"/>
        <w:rPr/>
      </w:pPr>
      <w:r>
        <w:rPr/>
        <w:t>Управлению делами администрации Вилючинского городского округа:</w:t>
      </w:r>
    </w:p>
    <w:p>
      <w:pPr>
        <w:pStyle w:val="ListParagraph"/>
        <w:numPr>
          <w:ilvl w:val="1"/>
          <w:numId w:val="1"/>
        </w:numPr>
        <w:ind w:left="0" w:right="-5" w:firstLine="709"/>
        <w:jc w:val="both"/>
        <w:rPr/>
      </w:pPr>
      <w:r>
        <w:rPr/>
        <w:t>осуществлять координацию деятельности отраслевых (функциональных) органов администрации Вилючинского городского округа по вопросам реализации Плана;</w:t>
      </w:r>
    </w:p>
    <w:p>
      <w:pPr>
        <w:pStyle w:val="ListParagraph"/>
        <w:numPr>
          <w:ilvl w:val="1"/>
          <w:numId w:val="1"/>
        </w:numPr>
        <w:ind w:left="1084" w:right="-5" w:hanging="375"/>
        <w:jc w:val="both"/>
        <w:rPr/>
      </w:pPr>
      <w:r>
        <w:rPr/>
        <w:t xml:space="preserve">     </w:t>
      </w:r>
      <w:r>
        <w:rPr/>
        <w:t>осуществлять мониторинг хода реализации Плана;</w:t>
      </w:r>
    </w:p>
    <w:p>
      <w:pPr>
        <w:pStyle w:val="ListParagraph"/>
        <w:numPr>
          <w:ilvl w:val="1"/>
          <w:numId w:val="1"/>
        </w:numPr>
        <w:ind w:left="0" w:right="-5" w:firstLine="709"/>
        <w:jc w:val="both"/>
        <w:rPr/>
      </w:pPr>
      <w:r>
        <w:rPr/>
        <w:t xml:space="preserve"> </w:t>
      </w:r>
      <w:r>
        <w:rPr/>
        <w:t>предоставлять в отдел по профилактике коррупционных и иных правонарушений Аппарата Губернатора и Правительства Камчатского края отчеты о ходе реализации Плана ежегодно, до 31 декабря;</w:t>
      </w:r>
    </w:p>
    <w:p>
      <w:pPr>
        <w:pStyle w:val="ListParagraph"/>
        <w:numPr>
          <w:ilvl w:val="1"/>
          <w:numId w:val="1"/>
        </w:numPr>
        <w:ind w:left="0" w:right="-5" w:firstLine="709"/>
        <w:jc w:val="both"/>
        <w:rPr/>
      </w:pPr>
      <w:r>
        <w:rPr/>
        <w:t xml:space="preserve"> </w:t>
      </w:r>
      <w:r>
        <w:rPr/>
        <w:t>обеспечить размещение отчета о ходе реализации Плана на официальном сайте органов местного самоуправления Вилючинского городского округа в информационно-телекоммуникационной сети «Интернет» в разделе «Противодействие коррупции» до 01 февраля года, следующего за отчетным годом.</w:t>
      </w:r>
    </w:p>
    <w:p>
      <w:pPr>
        <w:pStyle w:val="ListParagraph"/>
        <w:numPr>
          <w:ilvl w:val="0"/>
          <w:numId w:val="1"/>
        </w:numPr>
        <w:ind w:left="1069" w:right="-5" w:hanging="360"/>
        <w:jc w:val="both"/>
        <w:rPr/>
      </w:pPr>
      <w:r>
        <w:rPr/>
        <w:t xml:space="preserve">      </w:t>
      </w:r>
      <w:r>
        <w:rPr/>
        <w:t>Исполнителям Плана обеспечить:</w:t>
      </w:r>
    </w:p>
    <w:p>
      <w:pPr>
        <w:pStyle w:val="ListParagraph"/>
        <w:numPr>
          <w:ilvl w:val="1"/>
          <w:numId w:val="1"/>
        </w:numPr>
        <w:ind w:left="1084" w:right="-5" w:hanging="375"/>
        <w:jc w:val="both"/>
        <w:rPr/>
      </w:pPr>
      <w:r>
        <w:rPr/>
        <w:t xml:space="preserve">      </w:t>
      </w:r>
      <w:r>
        <w:rPr/>
        <w:t>реализацию мероприятий, предусмотренных Планом;</w:t>
      </w:r>
    </w:p>
    <w:p>
      <w:pPr>
        <w:pStyle w:val="ListParagraph"/>
        <w:numPr>
          <w:ilvl w:val="1"/>
          <w:numId w:val="1"/>
        </w:numPr>
        <w:ind w:left="0" w:right="-5" w:firstLine="709"/>
        <w:jc w:val="both"/>
        <w:rPr/>
      </w:pPr>
      <w:r>
        <w:rPr/>
        <w:t xml:space="preserve"> </w:t>
      </w:r>
      <w:r>
        <w:rPr/>
        <w:t>предоставление в управление делами администрации Вилючинского городского округа информации о выполнении соответствующих мероприятий, предусмотренных Планом, ежегодно к 20 декабря.</w:t>
      </w:r>
    </w:p>
    <w:p>
      <w:pPr>
        <w:pStyle w:val="ListParagraph"/>
        <w:numPr>
          <w:ilvl w:val="0"/>
          <w:numId w:val="1"/>
        </w:numPr>
        <w:ind w:left="0" w:right="-5" w:firstLine="709"/>
        <w:jc w:val="both"/>
        <w:rPr/>
      </w:pPr>
      <w:r>
        <w:rPr/>
        <w:t>Директору муниципального казенного учреждения «Ресурсно-информационный центр» Вилючинского городского округа опубликовать настоящее распоряжение в «Вилючинской газете. Официальных известиях администрации Вилючинского городского округа ЗАТО г.Вилючинска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>
      <w:pPr>
        <w:pStyle w:val="ListParagraph"/>
        <w:numPr>
          <w:ilvl w:val="0"/>
          <w:numId w:val="1"/>
        </w:numPr>
        <w:ind w:left="0" w:right="-5" w:firstLine="709"/>
        <w:jc w:val="both"/>
        <w:rPr/>
      </w:pPr>
      <w:r>
        <w:rPr/>
        <w:t>Признать утратившим силу распоряжение администрации Вилючинского городского округа  от 23.1.2018 № 497 «Об утверждении Плана мероприятий по противодействию коррупции в Вилючинском городском округе на 2018-2021 годы».</w:t>
      </w:r>
    </w:p>
    <w:p>
      <w:pPr>
        <w:pStyle w:val="ListParagraph"/>
        <w:numPr>
          <w:ilvl w:val="0"/>
          <w:numId w:val="1"/>
        </w:numPr>
        <w:ind w:left="0" w:right="-5" w:firstLine="709"/>
        <w:jc w:val="both"/>
        <w:rPr/>
      </w:pPr>
      <w:r>
        <w:rPr/>
        <w:t>Контроль за исполнением настоящего распоряжения возложить на заместитель главы администрации, начальника управления делами администрации Вилючинского городского округа Г.Н. Смирнову.</w:t>
      </w:r>
    </w:p>
    <w:p>
      <w:pPr>
        <w:pStyle w:val="Normal"/>
        <w:widowControl w:val="false"/>
        <w:spacing w:lineRule="exact" w:line="317" w:before="0" w:after="0"/>
        <w:ind w:right="142" w:firstLine="74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exact" w:line="317" w:before="0" w:after="0"/>
        <w:ind w:right="142" w:firstLine="74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  <w:t xml:space="preserve">Врип главы Вилючинского </w:t>
      </w:r>
    </w:p>
    <w:p>
      <w:pPr>
        <w:pStyle w:val="Normal"/>
        <w:tabs>
          <w:tab w:val="clear" w:pos="708"/>
          <w:tab w:val="right" w:pos="9498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  <w:t>городского округа</w:t>
        <w:tab/>
        <w:t>В.Г. Васькин</w:t>
      </w:r>
    </w:p>
    <w:p>
      <w:pPr>
        <w:pStyle w:val="Normal"/>
        <w:tabs>
          <w:tab w:val="clear" w:pos="708"/>
          <w:tab w:val="right" w:pos="9498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480" w:before="0" w:after="120"/>
        <w:ind w:left="283" w:hanging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480" w:before="0" w:after="120"/>
        <w:ind w:left="283" w:hanging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480" w:before="0" w:after="120"/>
        <w:ind w:left="283" w:hanging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480" w:before="0" w:after="120"/>
        <w:ind w:left="283" w:hanging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480" w:before="0" w:after="120"/>
        <w:ind w:left="283" w:hanging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480" w:before="0" w:after="120"/>
        <w:ind w:left="283" w:hanging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480" w:before="0" w:after="120"/>
        <w:ind w:left="283" w:hanging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480" w:before="0" w:after="120"/>
        <w:ind w:left="283" w:hanging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480" w:before="0" w:after="120"/>
        <w:ind w:left="283" w:hanging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480" w:before="0" w:after="120"/>
        <w:ind w:left="283" w:hanging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Приложение к распоряжению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администрации Вилючинского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городского округа 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от </w:t>
      </w:r>
      <w:r>
        <w:rPr>
          <w:rFonts w:cs="Times New Roman" w:ascii="Times New Roman" w:hAnsi="Times New Roman"/>
          <w:sz w:val="24"/>
          <w:szCs w:val="28"/>
          <w:u w:val="single"/>
        </w:rPr>
        <w:t xml:space="preserve">01.12.2021 </w:t>
      </w:r>
      <w:r>
        <w:rPr>
          <w:rFonts w:cs="Times New Roman" w:ascii="Times New Roman" w:hAnsi="Times New Roman"/>
          <w:sz w:val="24"/>
          <w:szCs w:val="28"/>
        </w:rPr>
        <w:t>№</w:t>
      </w:r>
      <w:r>
        <w:rPr>
          <w:rFonts w:cs="Times New Roman" w:ascii="Times New Roman" w:hAnsi="Times New Roman"/>
          <w:sz w:val="24"/>
          <w:szCs w:val="28"/>
          <w:u w:val="single"/>
        </w:rPr>
        <w:t xml:space="preserve">  </w:t>
      </w:r>
      <w:r>
        <w:rPr>
          <w:rFonts w:cs="Times New Roman" w:ascii="Times New Roman" w:hAnsi="Times New Roman"/>
          <w:sz w:val="24"/>
          <w:szCs w:val="28"/>
          <w:u w:val="single"/>
        </w:rPr>
        <w:t>259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противодействия коррупции в Вилючинском городском округе 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2021 – 2024 годы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</w:rPr>
        <w:t xml:space="preserve"> Отраслевым (функ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циональным) органам администрации Вилючинского городского округа, осуществляющим функции и полномочия учредителя муниципальных учреждений Вилючинского городского округа, осуществляющим организационно-методическое руководство, координацию деятельности муниципальных унитарных предприятий Вилючинского городского округа принять меры по предупреждению коррупции в подведомственных муниципальных учреждениях (предприятиях) муниципальных образований: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с учетом специфики деятельности подведомственных организаций обеспечить наличие планов работы по противодействию коррупции на 2021–2024 годы в указанных организациях и обеспечить контроль за выполнением предусмотренных мероприятий;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организовать проведение совещаний (обучающих мероприятий) с руководителями (заместителями руководителей) и работниками подведомственных организаций по вопросам организации работы по противодействию коррупции;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обеспечить представление сведений о доходах гражданами, претендующими на замещение должностей руководителей муниципальных учреждений, и руководителями муниципальных учреждений, размещение указанных сведений на официальных сайтах муниципальных образований в сети «Интернет», а также проведение проверок достоверности и полноты таких сведений в соответствии с законодательством Российской Федерации и муниципальными правовыми актами;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обеспечить применение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муниципальных учреждениях и муниципальных унитарных предприятиях;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 организовать проведение мероприятий, направленных на недопущение получения работниками образовательных организаций и аналогичных организаций, подарков от граждан, находящихся в организациях на воспитании, от супругов и родственников этих граждан;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е) организовать антикоррупционное образование работников подведомственных организаций, в том числе проведение семинаров, направленных на решение задач формирования антикоррупционного мировоззрения, повышения уровня правосознания и правовой культуры;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ж) провести профилактическую работу в подведомственных организациях по предупреждению коррупционных правонарушений и проявлений бытовой коррупции;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з) обеспечить осуществление финансового контроля за деятельностью подведомственных организаций;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и) обеспечить осуществление ведомственного контроля в сфере закупок товаров, работ, услуг для обеспечения муниципальных нужд;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к) обеспечить доступность информации о деятельности подведомственных организаций в соответствии с Федеральным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самоуправления», в том числе на официальных сайтах организаций в сети «Интернет»;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л) принимать меры по внедрению антикоррупционных механизмов в сфере закупок товаров, работ, услуг.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</w:rPr>
        <w:t xml:space="preserve"> Отраслевым (функциональным) органам администрации Вилючинского городского округа: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проводить работу по формированию негативного отношения к коррупционному поведению, в том числе с привлечением общественных объединений, уставной задачей которых является участие в противодействии коррупции, и других институтов гражданского общества;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обеспечить проведение работы, направленной на выявление личной заинтересованности, которая приводит или может привести к конфликту интересов при осуществлении закупок товаров, работ, услуг для обеспечения муниципальных нужд в соответствии с методическими рекомендациями Министерства труда и социальной защиты Российской Федерации.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</w:rPr>
        <w:t xml:space="preserve"> Отделу по внутренней и информационной политике управления делами в целях информационного обеспечения реализации мероприятий по профилактике коррупционных и иных правонарушений: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обеспечить наполнения специализированного раздела, посвященного противодействию коррупции на официальной сайте администрации Вилючинского городского в сети «Интернет»;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обеспечить доступ к информации о деятельности администрации Вилючинского городского округа в сфере противодействия коррупции на официальных сайтах органов местного самоуправления в сети «Интернет», в том числе размещение на них ежегодных отчетов об итогах принятых мер антикоррупционной направленности;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организовать освещение в средствах массовой информации сведений об антикоррупционной деятельности администрации Вилючинского городского округа, проводимых ими антикоррупционных мероприятиях.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</w:t>
      </w:r>
      <w:r>
        <w:rPr>
          <w:rFonts w:cs="Times New Roman" w:ascii="Times New Roman" w:hAnsi="Times New Roman"/>
          <w:sz w:val="28"/>
          <w:szCs w:val="28"/>
        </w:rPr>
        <w:t xml:space="preserve"> Общему отделу управления делами администрации Вилючинского городского округа в целях противодействия коррупции на муниципальной службе в Камчатском крае: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организовывать и проводить профилактические, разъяснительные и иные мероприятия, направленные на соблюдение лицами, замещающими муниципальные должности, и муниципальными служащими ограничений и запретов, а также на исполнение ими обязанностей, установленных в целях противодействия коррупции;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проводить мероприятия по формированию у муниципальных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обеспечить: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применение методических рекомендаций Министерства труда и социальной защиты Российской Федерации о комплексе мер, направленных на привлечение государственных и муниципальных служащих к противодействию коррупции;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систематическое консультирование муниципальных служащих по вопросам противодействия коррупции;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проведение регулярных тренингов по вопросам противодействия коррупции, соблюдения запретов, ограничений, требований к служебному поведению для всех муниципальных служащих;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проведение инструктажа муниципальных служащих на конкретных примерах конфликта интересов, с помощью которого муниципальные служащие должны приобрести навыки оценки своих действий для понимания конфликта интересов, научиться определять конфликт интересов, отличать его от иных форм должностных коммуникаций;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постоянное ознакомление муниципальных служащих с положениями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ежегодную проверку знания муниципальными служащими законодательства Российской Федерации о противодействии коррупции, в том числе с помощью тестирования;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по каждому случаю несоблюдения ограничений, запретов и неисполнения обязанностей, установленных в целях противодействия коррупции, осуществлять проверку и применять соответствующие меры ответственности;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 обеспечить применение к муниципальным служащим мер юридической ответственности за нарушение запретов и ограничений, неисполнение обязанностей, установленных в целях противодействия коррупции, в том числе увольнения в связи с утратой доверия. При определении мер ответственности за несоблюдение муниципальными служащими ограничений, запретов и неисполнения обязанностей, установленных в целях противодействия коррупции, руководствоваться 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разработанными Министерством труда и социальной защиты Российской Федерации;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е) обеспечить эффективное функционирование комиссий по соблюдению требований к служебному поведению муниципальных служащих и урегулированию конфликта интересов;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ж) обеспечить ежегодное проведение организационных, разъяснительных и иных мероприятий, направленных на недопущение муниципальными служащими и работниками подведомственных организаций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(с применением рекомендаций Министерства труда и социальной защиты Российской Федерации от 4 марта 2013 года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з) обеспечить контроль за выполнением муниципальными служащими обязанности сообщать в случаях, установленных федеральными законами, о получении ими подарка;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и) обеспечить контроль за выполнением муниципальными служащими обязанности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к) ежегодно обеспечить в установленном порядке сбор (до 30 апреля), опубликование (в течение 14 рабочих дней со дня истечения срока, установленного для подачи) и анализ (до 1 октября) сведений о доходах муниципальных служащих. Информацию о результатах анализа направлять в отдел по профилактике коррупционных и иных правонарушений, ежегодно до 10 декабря;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л) при организации работы по представлению лицами, замещающими муниципальные должности, и муниципальными служащими сведений о доходах руководствоваться методическими рекомендациями, разработанными Министерством труда и социальной защиты Российской Федерации;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м) обеспечить анализ сведений о расходах, представленных муниципальными служащими, в рамках реализации Федерального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закона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 в целях получения информации о том, что муниципальным служащим,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муниципального служащего и его супруги (супруга) за три последних года, предшествующих отчетному периоду. Информацию о результатах проведения анализа сведений о расходах, представленных муниципальными служащими за отчетный год в случае совершения ими в отчетном периоде сделок, предусмотренных 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>частью 1 статьи 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 направлять в отдел по профилактике коррупционных и иных правонарушений;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н) обеспечить проведение сопоставимого анализа сведений о расходах и доходах в рамках реализации положений Федерального </w:t>
      </w:r>
      <w:hyperlink r:id="rId5">
        <w:r>
          <w:rPr>
            <w:rFonts w:cs="Times New Roman" w:ascii="Times New Roman" w:hAnsi="Times New Roman"/>
            <w:sz w:val="28"/>
            <w:szCs w:val="28"/>
          </w:rPr>
          <w:t>закона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 и при наличии оснований для осуществления контроля за расходами в отношении муниципальных служащих направлять соответствующую информацию Губернатору Камчатского края;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о) результаты анализа сведений о доходах, включая каждый случай непредставления, а также представления неполных или недостоверных сведений о доходах рассматривать в установленном порядке на заседании комиссии по соблюдению требований к служебному поведению муниципальных служащих и урегулированию конфликта интересов;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п) организовать до 1 декабря ежегодное проведение оценок коррупционных рисков, возникающих при реализации органами местного самоуправления своих функций, и внесение до 31 декабря уточнений в перечни должностей муниципальной службы, замещение которых связано с коррупционными рисками. Данные должности муниципальной службы учитывать в утверждаемых перечнях должностей муниципальной службы, при назначении на которые граждане и при замещении которых муниципальные служащие обязаны представлять сведения о доходах. Информацию об уточнении перечней направлять в отдел по профилактике коррупционных и иных правонарушений Аппарата губернатора и Правительства Камчатского края ежегодно, до 31 декабря.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</w:t>
      </w:r>
      <w:r>
        <w:rPr>
          <w:rFonts w:cs="Times New Roman" w:ascii="Times New Roman" w:hAnsi="Times New Roman"/>
          <w:sz w:val="28"/>
          <w:szCs w:val="28"/>
        </w:rPr>
        <w:t xml:space="preserve"> Управлению правового обеспечения и контроля администрации Вилючинского городского округа: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проводить антикоррупционную экспертизу муниципальных нормативных правовых актов и их проектов;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б) обеспечить условия для проведения институтами гражданского общества независимой антикоррупционной экспертизы муниципальных нормативных правовых актов и их проектов;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обеспечить осуществление процедуры оценки регулирующего воздействия муниципальных нормативных правовых актов в случаях, предусмотренных федеральным и региональными законами и правовыми актами.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</w:t>
      </w:r>
      <w:r>
        <w:rPr>
          <w:rFonts w:cs="Times New Roman" w:ascii="Times New Roman" w:hAnsi="Times New Roman"/>
          <w:sz w:val="28"/>
          <w:szCs w:val="28"/>
        </w:rPr>
        <w:t xml:space="preserve"> Отраслевым (функциональным) органам администрации Вилючинского городского округа принимать меры по внедрению антикоррупционных механизмов в сфере закупок товаров, работ, услуг для обеспечения муниципальных нужд.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7.</w:t>
      </w:r>
      <w:r>
        <w:rPr>
          <w:rFonts w:cs="Times New Roman" w:ascii="Times New Roman" w:hAnsi="Times New Roman"/>
          <w:sz w:val="28"/>
          <w:szCs w:val="28"/>
        </w:rPr>
        <w:t xml:space="preserve"> Отделу по внутренней и информационной политики управления делами администрации Вилючинского городского округа принимать меры для обеспечения эффективного взаимодействия администрации Вилючинского городского округа с институтами гражданского общества, в том числе посредством функционирования общественного совета и организаций общественного обсуждения проектов муниципальных нормативных правовых актов.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8.</w:t>
      </w:r>
      <w:r>
        <w:rPr>
          <w:rFonts w:cs="Times New Roman" w:ascii="Times New Roman" w:hAnsi="Times New Roman"/>
          <w:sz w:val="28"/>
          <w:szCs w:val="28"/>
        </w:rPr>
        <w:t xml:space="preserve"> Общему отделу управления делами администрации Вилючинского городского округа проводить анализ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органа местного самоуправления и подведомственных ему организаций.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9.</w:t>
      </w:r>
      <w:r>
        <w:rPr>
          <w:rFonts w:cs="Times New Roman" w:ascii="Times New Roman" w:hAnsi="Times New Roman"/>
          <w:sz w:val="28"/>
          <w:szCs w:val="28"/>
        </w:rPr>
        <w:t xml:space="preserve"> Отделу по внутренней и информационной политики управления делами администрации Вилючинского городского проводить мониторинг средств массовой информации на предмет наличия в них публикаций о проявлениях коррупции со стороны муниципальных служащих и лиц, замещающих муниципальные должности.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10.</w:t>
      </w:r>
      <w:r>
        <w:rPr>
          <w:rFonts w:cs="Times New Roman" w:ascii="Times New Roman" w:hAnsi="Times New Roman"/>
          <w:sz w:val="28"/>
          <w:szCs w:val="28"/>
        </w:rPr>
        <w:t xml:space="preserve"> Управлению правового обеспечения и контроля администрации Вилючинского городского округа ежеквартально рассматривать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11.</w:t>
      </w:r>
      <w:r>
        <w:rPr>
          <w:rFonts w:cs="Times New Roman" w:ascii="Times New Roman" w:hAnsi="Times New Roman"/>
          <w:sz w:val="28"/>
          <w:szCs w:val="28"/>
        </w:rPr>
        <w:t xml:space="preserve"> Отраслевым (функциональным) органам администрации Вилючинского городского округа: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принимать меры по устранению условий, способствующих совершению коррупционных правонарушений, с которыми граждане встречаются наиболее часто (бытовая коррупция);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размещать в зданиях и помещениях, занимаемых органами местного самоуправления и подведомственными организациями, информационные стенды с материалами по профилактике коррупционных проявлений со стороны граждан и предупреждению коррупционного поведения муниципальных служащих;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принимать меры по повышению уровня правовой грамотности граждан, их правовому воспитанию и популяризации антикоррупционных стандартов поведения, основанных на знаниях общих прав и обязанностей, и при необходимости осуществлять внесение соответствующих изменений в муниципальные нормативные правовые акты;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обеспечить разработку и издание методических пособий и печатной продукции по вопросам повышения уровня правосознания граждан и популяризации антикоррупционных стандартов поведения, основанных на знаниях общих прав и обязанностей;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 организовать проведение «прямых линий» с гражданами по вопросам антикоррупционного просвещения, отнесенным к сфере деятельности органов местного самоуправления, посредством которых проводить познавательно–разъяснительную работу;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е) в пределах своей компетенции оказывать отделу по профилактике коррупционных и иных правонарушений содействие в сфере противодействия коррупции в Камчатском крае.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12. </w:t>
      </w:r>
      <w:r>
        <w:rPr>
          <w:rFonts w:cs="Times New Roman" w:ascii="Times New Roman" w:hAnsi="Times New Roman"/>
          <w:sz w:val="28"/>
          <w:szCs w:val="28"/>
        </w:rPr>
        <w:t xml:space="preserve">Отраслевым (функциональным) органам администрации Вилючинского городского округа ежегодно не позднее </w:t>
      </w:r>
      <w:r>
        <w:rPr>
          <w:rFonts w:cs="Times New Roman" w:ascii="Times New Roman" w:hAnsi="Times New Roman"/>
          <w:b/>
          <w:sz w:val="28"/>
          <w:szCs w:val="28"/>
        </w:rPr>
        <w:t>15 декабря</w:t>
      </w:r>
      <w:r>
        <w:rPr>
          <w:rFonts w:cs="Times New Roman" w:ascii="Times New Roman" w:hAnsi="Times New Roman"/>
          <w:sz w:val="28"/>
          <w:szCs w:val="28"/>
        </w:rPr>
        <w:t xml:space="preserve"> предоставлять в общий отдел управления делами администрации Вилючинского городского округа отчет по исполнению данного Плана.</w:t>
      </w:r>
    </w:p>
    <w:sectPr>
      <w:headerReference w:type="default" r:id="rId6"/>
      <w:type w:val="nextPage"/>
      <w:pgSz w:w="11906" w:h="16838"/>
      <w:pgMar w:left="1418" w:right="851" w:gutter="0" w:header="709" w:top="1134" w:footer="0" w:bottom="1135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1084" w:hanging="375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353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PlainText"/>
    <w:uiPriority w:val="99"/>
    <w:semiHidden/>
    <w:qFormat/>
    <w:rsid w:val="00e72da7"/>
    <w:rPr>
      <w:rFonts w:ascii="Calibri" w:hAnsi="Calibri" w:eastAsia="Calibri" w:cs="Times New Roman"/>
      <w:szCs w:val="21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5344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31799b"/>
    <w:rPr/>
  </w:style>
  <w:style w:type="character" w:styleId="Style18">
    <w:name w:val="Интернет-ссылка"/>
    <w:basedOn w:val="DefaultParagraphFont"/>
    <w:unhideWhenUsed/>
    <w:rsid w:val="00681bfe"/>
    <w:rPr>
      <w:color w:val="0563C1" w:themeColor="hyperlink"/>
      <w:u w:val="single"/>
    </w:rPr>
  </w:style>
  <w:style w:type="character" w:styleId="Style19" w:customStyle="1">
    <w:name w:val="Гипертекстовая ссылка"/>
    <w:qFormat/>
    <w:rsid w:val="00a346f0"/>
    <w:rPr>
      <w:b/>
      <w:bCs/>
      <w:color w:val="008000"/>
      <w:sz w:val="20"/>
      <w:szCs w:val="20"/>
      <w:u w:val="single"/>
    </w:rPr>
  </w:style>
  <w:style w:type="character" w:styleId="Style20" w:customStyle="1">
    <w:name w:val="Текст концевой сноски Знак"/>
    <w:basedOn w:val="DefaultParagraphFont"/>
    <w:qFormat/>
    <w:rsid w:val="00a346f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1">
    <w:name w:val="Привязка концевой сноски"/>
    <w:rPr>
      <w:vertAlign w:val="superscript"/>
    </w:rPr>
  </w:style>
  <w:style w:type="character" w:styleId="EndnoteCharacters">
    <w:name w:val="Endnote Characters"/>
    <w:qFormat/>
    <w:rsid w:val="00a346f0"/>
    <w:rPr>
      <w:vertAlign w:val="superscript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 Unicode M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PlainText">
    <w:name w:val="Plain Text"/>
    <w:basedOn w:val="Normal"/>
    <w:link w:val="Style14"/>
    <w:uiPriority w:val="99"/>
    <w:semiHidden/>
    <w:unhideWhenUsed/>
    <w:qFormat/>
    <w:rsid w:val="00e72da7"/>
    <w:pPr>
      <w:spacing w:lineRule="auto" w:line="240" w:before="0" w:after="0"/>
    </w:pPr>
    <w:rPr>
      <w:rFonts w:ascii="Calibri" w:hAnsi="Calibri" w:eastAsia="Calibri" w:cs="Times New Roman"/>
      <w:szCs w:val="21"/>
    </w:rPr>
  </w:style>
  <w:style w:type="paragraph" w:styleId="Style27">
    <w:name w:val="Колонтитул"/>
    <w:basedOn w:val="Normal"/>
    <w:qFormat/>
    <w:pPr/>
    <w:rPr/>
  </w:style>
  <w:style w:type="paragraph" w:styleId="Style28">
    <w:name w:val="Footer"/>
    <w:basedOn w:val="Normal"/>
    <w:link w:val="Style15"/>
    <w:uiPriority w:val="99"/>
    <w:rsid w:val="009534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Style16"/>
    <w:semiHidden/>
    <w:unhideWhenUsed/>
    <w:qFormat/>
    <w:rsid w:val="009277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9">
    <w:name w:val="Header"/>
    <w:basedOn w:val="Normal"/>
    <w:link w:val="Style17"/>
    <w:uiPriority w:val="99"/>
    <w:unhideWhenUsed/>
    <w:rsid w:val="0031799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 w:customStyle="1">
    <w:name w:val="ConsPlusTitle"/>
    <w:uiPriority w:val="99"/>
    <w:qFormat/>
    <w:rsid w:val="00a346f0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ConsPlusNormal" w:customStyle="1">
    <w:name w:val="ConsPlusNormal"/>
    <w:qFormat/>
    <w:rsid w:val="00a346f0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30" w:customStyle="1">
    <w:name w:val="Комментарий"/>
    <w:basedOn w:val="Normal"/>
    <w:next w:val="Normal"/>
    <w:qFormat/>
    <w:rsid w:val="00a346f0"/>
    <w:pPr>
      <w:spacing w:lineRule="auto" w:line="240" w:before="0" w:after="0"/>
      <w:ind w:left="170" w:hanging="0"/>
      <w:jc w:val="both"/>
    </w:pPr>
    <w:rPr>
      <w:rFonts w:ascii="Arial" w:hAnsi="Arial" w:eastAsia="Times New Roman" w:cs="Times New Roman"/>
      <w:i/>
      <w:iCs/>
      <w:color w:val="800080"/>
      <w:sz w:val="20"/>
      <w:szCs w:val="20"/>
      <w:lang w:eastAsia="ru-RU"/>
    </w:rPr>
  </w:style>
  <w:style w:type="paragraph" w:styleId="Style31">
    <w:name w:val="Endnote Text"/>
    <w:basedOn w:val="Normal"/>
    <w:link w:val="Style20"/>
    <w:rsid w:val="00a346f0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ConsPlusNonformat" w:customStyle="1">
    <w:name w:val="ConsPlusNonformat"/>
    <w:uiPriority w:val="99"/>
    <w:qFormat/>
    <w:rsid w:val="00a346f0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NoSpacing">
    <w:name w:val="No Spacing"/>
    <w:qFormat/>
    <w:rsid w:val="00a346f0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a346f0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ab3e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6D89F983377779CAE289AA25071C6E519B046E72FC7E8B0BBEA368FF83CF20ECD41E9B7C26574B2EA9B63BE4DHF6EV" TargetMode="External"/><Relationship Id="rId3" Type="http://schemas.openxmlformats.org/officeDocument/2006/relationships/hyperlink" Target="consultantplus://offline/ref=66D89F983377779CAE289AA25071C6E519BD4DEB20C1E8B0BBEA368FF83CF20ECD41E9B7C26574B2EA9B63BE4DHF6EV" TargetMode="External"/><Relationship Id="rId4" Type="http://schemas.openxmlformats.org/officeDocument/2006/relationships/hyperlink" Target="consultantplus://offline/ref=66D89F983377779CAE289AA25071C6E519BD4DEB20C1E8B0BBEA368FF83CF20EDF41B1BEC76F3EE3A7D06CBC4EE1B472232B998FH061V" TargetMode="External"/><Relationship Id="rId5" Type="http://schemas.openxmlformats.org/officeDocument/2006/relationships/hyperlink" Target="consultantplus://offline/ref=66D89F983377779CAE289AA25071C6E519BD4DEB20C1E8B0BBEA368FF83CF20ECD41E9B7C26574B2EA9B63BE4DHF6EV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7CA6E-1403-4048-93C6-3CD0CDD0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3687</TotalTime>
  <Application>LibreOffice/7.3.4.2$Windows_X86_64 LibreOffice_project/728fec16bd5f605073805c3c9e7c4212a0120dc5</Application>
  <AppVersion>15.0000</AppVersion>
  <Pages>9</Pages>
  <Words>2308</Words>
  <Characters>17823</Characters>
  <CharactersWithSpaces>20190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2021-10-20T04:19:00Z</dcterms:created>
  <dc:creator>Киселев Виктор Вадимович</dc:creator>
  <dc:description/>
  <dc:language>ru-RU</dc:language>
  <cp:lastModifiedBy/>
  <cp:lastPrinted>2021-11-24T01:32:00Z</cp:lastPrinted>
  <dcterms:modified xsi:type="dcterms:W3CDTF">2022-09-20T15:03:12Z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