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>
      <w:pPr>
        <w:pStyle w:val="Normal"/>
        <w:jc w:val="center"/>
        <w:rPr>
          <w:b/>
          <w:b/>
          <w:spacing w:val="200"/>
          <w:sz w:val="48"/>
        </w:rPr>
      </w:pPr>
      <w:r>
        <w:rPr>
          <w:b/>
          <w:spacing w:val="200"/>
          <w:sz w:val="48"/>
        </w:rPr>
      </w:r>
    </w:p>
    <w:p>
      <w:pPr>
        <w:pStyle w:val="2"/>
        <w:rPr/>
      </w:pPr>
      <w:r>
        <w:rPr/>
        <w:t>РАСПОРЯЖЕНИЕ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8"/>
          <w:szCs w:val="28"/>
          <w:u w:val="single"/>
        </w:rPr>
        <w:t>22.12.2020</w:t>
      </w:r>
      <w:r>
        <w:rPr/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335</w:t>
      </w:r>
    </w:p>
    <w:p>
      <w:pPr>
        <w:pStyle w:val="Normal"/>
        <w:jc w:val="center"/>
        <w:rPr/>
      </w:pPr>
      <w:r>
        <w:rPr/>
      </w:r>
    </w:p>
    <w:p>
      <w:pPr>
        <w:pStyle w:val="Style29"/>
        <w:rPr/>
      </w:pPr>
      <w:r>
        <w:rPr/>
        <w:t>г.Вилючинск</w:t>
      </w:r>
    </w:p>
    <w:p>
      <w:pPr>
        <w:pStyle w:val="Style16"/>
        <w:rPr/>
      </w:pPr>
      <w:r>
        <w:rPr/>
      </w:r>
    </w:p>
    <w:p>
      <w:pPr>
        <w:pStyle w:val="ConsPlusTitle"/>
        <w:tabs>
          <w:tab w:val="clear" w:pos="708"/>
          <w:tab w:val="left" w:pos="4536" w:leader="none"/>
        </w:tabs>
        <w:ind w:right="5385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Об утверждении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highlight w:val="white"/>
        </w:rPr>
        <w:t xml:space="preserve">Методики оценки эффективности внутренних систем выявления и профилактики коррупционных рисков в администрации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Вилючинского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Руководствуясь 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highlight w:val="white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color w:val="000000"/>
          <w:sz w:val="28"/>
          <w:szCs w:val="28"/>
          <w:highlight w:val="white"/>
        </w:rPr>
        <w:t xml:space="preserve">Федеральным законом </w:t>
      </w:r>
      <w:r>
        <w:rPr>
          <w:color w:val="000000"/>
          <w:sz w:val="28"/>
          <w:szCs w:val="28"/>
        </w:rPr>
        <w:t>от 02.03.2007 № 25-ФЗ «О муниципальной службе в Российской Федерации», в целях создания системы противодействия коррупции в администрации Вилючинском городском округе и устранения причин, порождающих коррупцию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widowControl w:val="false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Утвердить Методику оценки эффективности внутренних систем выявления и профилактики коррупционных рисков в администрации </w:t>
      </w:r>
      <w:r>
        <w:rPr>
          <w:color w:val="000000"/>
          <w:sz w:val="28"/>
          <w:szCs w:val="28"/>
        </w:rPr>
        <w:t>Вилючинского городского округа согласно приложению № 1 к настоящему распоряжению.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Утвердить Перечень коррупционно - опасных функций администрации </w:t>
      </w:r>
      <w:r>
        <w:rPr>
          <w:color w:val="000000"/>
          <w:sz w:val="28"/>
          <w:szCs w:val="28"/>
        </w:rPr>
        <w:t>Вилючинского городского округа согласно приложению № 2 к настоящему распоряжению.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распоряжение главы Вилючинского городского округа от 05.08.2010 № 54-рд «Об утверждении Временной методики оценки эффективности внутренних систем выявления и профилактики коррупционных рисков в администрации Вилючинского городского округа».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муниципального казенного учреждения «Ресурсно-информационный центр» Вилючинского городского округа О.Ю. Трофимовой разместить настоящее распоряжение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Врип главы администрации </w:t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  <w:tab/>
        <w:tab/>
        <w:tab/>
        <w:t xml:space="preserve">                             Г.Н. Смирнова</w:t>
      </w:r>
    </w:p>
    <w:tbl>
      <w:tblPr>
        <w:tblStyle w:val="af0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4643"/>
      </w:tblGrid>
      <w:tr>
        <w:trPr/>
        <w:tc>
          <w:tcPr>
            <w:tcW w:w="5210" w:type="dxa"/>
            <w:tcBorders/>
          </w:tcPr>
          <w:p>
            <w:pPr>
              <w:pStyle w:val="Normal"/>
              <w:widowControl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464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Приложение № 1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к распоряжению администрации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>Вилючинского городского округа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от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zh-CN" w:bidi="ar-SA"/>
              </w:rPr>
              <w:t>22.12.2020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zh-CN" w:bidi="ar-SA"/>
              </w:rPr>
              <w:t xml:space="preserve"> №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zh-CN" w:bidi="ar-SA"/>
              </w:rPr>
              <w:t>335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spacing w:lineRule="atLeast" w:line="27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spacing w:lineRule="atLeast" w:line="27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МЕТОДИКА</w:t>
      </w:r>
    </w:p>
    <w:p>
      <w:pPr>
        <w:pStyle w:val="Normal"/>
        <w:spacing w:lineRule="atLeast" w:line="27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оценки эффективности внутренних систем выявления</w:t>
      </w:r>
    </w:p>
    <w:p>
      <w:pPr>
        <w:pStyle w:val="Normal"/>
        <w:spacing w:lineRule="atLeast" w:line="27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b/>
          <w:bCs/>
          <w:color w:val="000000"/>
          <w:sz w:val="28"/>
          <w:szCs w:val="28"/>
          <w:highlight w:val="white"/>
        </w:rPr>
        <w:t xml:space="preserve">и профилактики коррупционных рисков в </w:t>
      </w:r>
    </w:p>
    <w:p>
      <w:pPr>
        <w:pStyle w:val="Normal"/>
        <w:spacing w:lineRule="atLeast" w:line="270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администрации Вилючинского городского округа</w:t>
      </w:r>
    </w:p>
    <w:p>
      <w:pPr>
        <w:pStyle w:val="Normal"/>
        <w:spacing w:lineRule="atLeast" w:line="27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spacing w:lineRule="atLeast" w:line="270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 Общие положения</w:t>
      </w:r>
    </w:p>
    <w:p>
      <w:pPr>
        <w:pStyle w:val="Normal"/>
        <w:spacing w:lineRule="atLeast" w:line="27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1.1. Методика оценки эффективности внутренних систем выявления и профилактики коррупционных рисков в администрации Вилючинского городского округа (далее - Методика) разработана на основании Федерального закона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highlight w:val="white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color w:val="000000"/>
          <w:sz w:val="28"/>
          <w:szCs w:val="28"/>
          <w:highlight w:val="white"/>
        </w:rPr>
        <w:t xml:space="preserve">Федерального закона </w:t>
      </w:r>
      <w:r>
        <w:rPr>
          <w:color w:val="000000"/>
          <w:sz w:val="28"/>
          <w:szCs w:val="28"/>
        </w:rPr>
        <w:t>от 02.03.2007 № 25-ФЗ «О муниципальной службе в Российской Федерации».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  <w:highlight w:val="white"/>
        </w:rPr>
        <w:t>Основной задачей применения Методики является оценка эффективности внутренних систем выявления и профилактики коррупционных рисков в администрации Вилючинского городского округа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  <w:highlight w:val="white"/>
        </w:rPr>
        <w:t>Основные понятия, используемые в Методике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2.1. Антикоррупционный стандарт –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2.2. Антикоррупционная экспертиза нормативных правовых актов и их проектов (экспертиза на коррупциогенность) – деятельность органов местного самоуправления в целях выявления, описания коррупциогенных факторов и разработки рекомендаций по их устранению;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2.3.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2.4. Коррупционные риски (коррупционные факторы) –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2.5. Коррупциогенные нормы – положения проектов документов, содержащие коррупционные факторы.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2.6. Коррупциогенные факторы –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2.7. План (программа) противодействия коррупции –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2.8. Противодействие коррупции –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2.9. Профилактика коррупции –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2.10. Субъект коррупционных правонарушений –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3. Факторы, требующие оценки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 К системе выявления и профилактики коррупционных рисков в администрации Вилючинского городского округа относятся: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разработка и принятие Плана противодействия коррупции;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работа комиссии по противодействию коррупции;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разработка перечня коррупционно-опасных функций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  <w:highlight w:val="white"/>
        </w:rPr>
        <w:t>Вилючинского городского округа;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применение методики оценки эффективности внутренних систем выявления и профилактики коррупционных рисков;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 использования «Интернет-технологий», устных и письменных обращений (заявлений, жалоб);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4. Внутренние системы выявления и профилактики 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коррупционных рисков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1) кадровая работа;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3) взаимодействие с общественностью;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5. Результаты оценки</w:t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Оценка осуществляется путем ответа «ДА» –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>
      <w:pPr>
        <w:pStyle w:val="Normal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</w:t>
      </w:r>
    </w:p>
    <w:p>
      <w:pPr>
        <w:pStyle w:val="Normal"/>
        <w:spacing w:lineRule="atLeast" w:line="270"/>
        <w:jc w:val="right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22.12.2020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335</w:t>
      </w:r>
    </w:p>
    <w:p>
      <w:pPr>
        <w:pStyle w:val="Normal"/>
        <w:spacing w:lineRule="atLeast" w:line="27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spacing w:lineRule="atLeast" w:line="270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ПЕРЕЧЕНЬ </w:t>
      </w:r>
    </w:p>
    <w:p>
      <w:pPr>
        <w:pStyle w:val="Normal"/>
        <w:spacing w:lineRule="atLeast" w:line="270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коррупционно-опасных функций администрации</w:t>
      </w:r>
    </w:p>
    <w:p>
      <w:pPr>
        <w:pStyle w:val="Normal"/>
        <w:spacing w:lineRule="atLeast" w:line="270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Вилючинского городского округа </w:t>
      </w:r>
    </w:p>
    <w:p>
      <w:pPr>
        <w:pStyle w:val="Normal"/>
        <w:spacing w:lineRule="atLeast" w:line="27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 Предоставление муниципальных услуг;</w:t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 Осуществление контрольных функций;</w:t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>
      <w:pPr>
        <w:pStyle w:val="Normal"/>
        <w:spacing w:lineRule="atLeast" w:line="27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 Осуществление закупок товаров, работ, услуг для обеспечения муниципальных нужд.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915" w:leader="none"/>
        </w:tabs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«Согласовано»: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И.о. начальника юридического отдела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ВГО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________________Е.С. Бурхавецкая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«____»____________________2020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общего отдела управления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делами администрации ВГО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__________________Ю.С. Тесленко </w:t>
      </w:r>
      <w:bookmarkStart w:id="0" w:name="_GoBack"/>
      <w:bookmarkEnd w:id="0"/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«____»____________________2020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yle30"/>
        <w:spacing w:before="0" w:after="0"/>
        <w:contextualSpacing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Style30"/>
        <w:spacing w:before="0" w:after="0"/>
        <w:contextualSpacing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Style30"/>
        <w:spacing w:before="0" w:after="0"/>
        <w:contextualSpacing/>
        <w:rPr>
          <w:b w:val="false"/>
          <w:b w:val="false"/>
          <w:sz w:val="24"/>
        </w:rPr>
      </w:pPr>
      <w:r>
        <w:rPr>
          <w:b w:val="false"/>
          <w:sz w:val="24"/>
        </w:rPr>
        <w:t>Распоряжение разослать: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 экз. – общий отдел управления делами администрации ВГО;</w:t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>1 экз. – МКУ «РИЦ»;</w:t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>1 экз. – архив.</w:t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link w:val="11"/>
    <w:uiPriority w:val="9"/>
    <w:qFormat/>
    <w:pPr>
      <w:keepNext w:val="true"/>
      <w:keepLines/>
      <w:widowControl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basedOn w:val="Normal"/>
    <w:next w:val="Normal"/>
    <w:link w:val="21"/>
    <w:qFormat/>
    <w:pPr>
      <w:keepNext w:val="true"/>
      <w:jc w:val="center"/>
      <w:outlineLvl w:val="1"/>
    </w:pPr>
    <w:rPr>
      <w:b/>
      <w:spacing w:val="200"/>
      <w:sz w:val="40"/>
    </w:rPr>
  </w:style>
  <w:style w:type="paragraph" w:styleId="3">
    <w:name w:val="Heading 3"/>
    <w:link w:val="31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basedOn w:val="Normal"/>
    <w:next w:val="Normal"/>
    <w:link w:val="41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1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link w:val="61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link w:val="71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link w:val="81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link w:val="91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 w:customStyle="1">
    <w:name w:val="Текст сноски Знак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13" w:customStyle="1">
    <w:name w:val="Верхний колонтитул Знак"/>
    <w:qFormat/>
    <w:rPr>
      <w:sz w:val="24"/>
      <w:szCs w:val="24"/>
    </w:rPr>
  </w:style>
  <w:style w:type="character" w:styleId="Style14" w:customStyle="1">
    <w:name w:val="Нижний колонтитул Знак"/>
    <w:qFormat/>
    <w:rPr>
      <w:sz w:val="24"/>
      <w:szCs w:val="24"/>
    </w:rPr>
  </w:style>
  <w:style w:type="character" w:styleId="23" w:customStyle="1">
    <w:name w:val="Основной текст (2)_"/>
    <w:link w:val="25"/>
    <w:qFormat/>
    <w:rsid w:val="00472a82"/>
    <w:rPr>
      <w:sz w:val="28"/>
      <w:szCs w:val="28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uiPriority w:val="34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0">
    <w:name w:val="Title"/>
    <w:link w:val="Style5"/>
    <w:uiPriority w:val="10"/>
    <w:qFormat/>
    <w:pPr>
      <w:widowControl/>
      <w:bidi w:val="0"/>
      <w:spacing w:before="300" w:after="20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48"/>
      <w:szCs w:val="48"/>
      <w:lang w:val="ru-RU" w:eastAsia="zh-CN" w:bidi="ar-SA"/>
    </w:rPr>
  </w:style>
  <w:style w:type="paragraph" w:styleId="Style21">
    <w:name w:val="Subtitle"/>
    <w:link w:val="Style6"/>
    <w:qFormat/>
    <w:pPr>
      <w:widowControl/>
      <w:bidi w:val="0"/>
      <w:spacing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link w:val="22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link w:val="Style7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ru-RU" w:eastAsia="zh-CN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uiPriority w:val="35"/>
    <w:semiHidden/>
    <w:unhideWhenUsed/>
    <w:qFormat/>
    <w:pPr>
      <w:widowControl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25">
    <w:name w:val="Footnote Text"/>
    <w:link w:val="Style9"/>
    <w:uiPriority w:val="99"/>
    <w:semiHidden/>
    <w:unhideWhenUsed/>
    <w:pPr>
      <w:widowControl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ru-RU" w:eastAsia="zh-CN" w:bidi="ar-SA"/>
    </w:rPr>
  </w:style>
  <w:style w:type="paragraph" w:styleId="Style26">
    <w:name w:val="Endnote Text"/>
    <w:link w:val="Style11"/>
    <w:uiPriority w:val="99"/>
    <w:semiHidden/>
    <w:unhideWhenUsed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2">
    <w:name w:val="TOC 1"/>
    <w:uiPriority w:val="39"/>
    <w:unhideWhenUsed/>
    <w:pPr>
      <w:widowControl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24">
    <w:name w:val="TOC 2"/>
    <w:uiPriority w:val="39"/>
    <w:unhideWhenUsed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32">
    <w:name w:val="TOC 3"/>
    <w:uiPriority w:val="39"/>
    <w:unhideWhenUsed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42">
    <w:name w:val="TOC 4"/>
    <w:uiPriority w:val="39"/>
    <w:unhideWhenUsed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52">
    <w:name w:val="TOC 5"/>
    <w:uiPriority w:val="39"/>
    <w:unhideWhenUsed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62">
    <w:name w:val="TOC 6"/>
    <w:uiPriority w:val="39"/>
    <w:unhideWhenUsed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72">
    <w:name w:val="TOC 7"/>
    <w:uiPriority w:val="39"/>
    <w:unhideWhenUsed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82">
    <w:name w:val="TOC 8"/>
    <w:uiPriority w:val="39"/>
    <w:unhideWhenUsed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92">
    <w:name w:val="TOC 9"/>
    <w:uiPriority w:val="39"/>
    <w:unhideWhenUsed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semiHidden/>
    <w:qFormat/>
    <w:pPr/>
    <w:rPr>
      <w:rFonts w:ascii="Tahoma" w:hAnsi="Tahoma"/>
      <w:sz w:val="16"/>
      <w:szCs w:val="16"/>
    </w:rPr>
  </w:style>
  <w:style w:type="paragraph" w:styleId="Style29" w:customStyle="1">
    <w:name w:val="ðàñïîðÿæåíèå"/>
    <w:basedOn w:val="Normal"/>
    <w:next w:val="Style16"/>
    <w:qFormat/>
    <w:pPr>
      <w:jc w:val="center"/>
    </w:pPr>
    <w:rPr/>
  </w:style>
  <w:style w:type="paragraph" w:styleId="25" w:customStyle="1">
    <w:name w:val="Основной текст (2)"/>
    <w:basedOn w:val="Normal"/>
    <w:link w:val="23"/>
    <w:qFormat/>
    <w:rsid w:val="00472a82"/>
    <w:pPr>
      <w:widowControl w:val="false"/>
      <w:shd w:val="clear" w:color="auto" w:fill="FFFFFF"/>
      <w:spacing w:lineRule="exact" w:line="326"/>
      <w:jc w:val="both"/>
    </w:pPr>
    <w:rPr>
      <w:sz w:val="28"/>
      <w:szCs w:val="28"/>
    </w:rPr>
  </w:style>
  <w:style w:type="paragraph" w:styleId="S1" w:customStyle="1">
    <w:name w:val="s_1"/>
    <w:basedOn w:val="Normal"/>
    <w:qFormat/>
    <w:rsid w:val="00937ae2"/>
    <w:pPr>
      <w:spacing w:beforeAutospacing="1" w:afterAutospacing="1"/>
    </w:pPr>
    <w:rPr>
      <w:sz w:val="24"/>
      <w:szCs w:val="24"/>
      <w:lang w:eastAsia="ru-RU"/>
    </w:rPr>
  </w:style>
  <w:style w:type="paragraph" w:styleId="S22" w:customStyle="1">
    <w:name w:val="s_22"/>
    <w:basedOn w:val="Normal"/>
    <w:qFormat/>
    <w:rsid w:val="00937ae2"/>
    <w:pPr>
      <w:spacing w:beforeAutospacing="1" w:afterAutospacing="1"/>
    </w:pPr>
    <w:rPr>
      <w:sz w:val="24"/>
      <w:szCs w:val="24"/>
      <w:lang w:eastAsia="ru-RU"/>
    </w:rPr>
  </w:style>
  <w:style w:type="paragraph" w:styleId="ConsPlusNormal" w:customStyle="1">
    <w:name w:val="ConsPlusNormal"/>
    <w:qFormat/>
    <w:rsid w:val="000d3e4b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0d3e4b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eastAsia="ru-RU" w:val="ru-RU" w:bidi="ar-SA"/>
    </w:rPr>
  </w:style>
  <w:style w:type="paragraph" w:styleId="Style30" w:customStyle="1">
    <w:name w:val="Написание блока подписей"/>
    <w:basedOn w:val="Normal"/>
    <w:next w:val="Normal"/>
    <w:qFormat/>
    <w:rsid w:val="007c2390"/>
    <w:pPr>
      <w:widowControl w:val="false"/>
      <w:suppressAutoHyphens w:val="true"/>
    </w:pPr>
    <w:rPr>
      <w:b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53478E7-9673-4508-8806-1FBEEC97F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LibreOffice/7.3.4.2$Windows_X86_64 LibreOffice_project/728fec16bd5f605073805c3c9e7c4212a0120dc5</Application>
  <AppVersion>15.0000</AppVersion>
  <Pages>7</Pages>
  <Words>1202</Words>
  <Characters>9578</Characters>
  <CharactersWithSpaces>10879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2022-09-19T12:44:00Z</dcterms:created>
  <dc:creator>1</dc:creator>
  <dc:description/>
  <dc:language>ru-RU</dc:language>
  <cp:lastModifiedBy/>
  <cp:lastPrinted>2022-09-19T13:00:00Z</cp:lastPrinted>
  <dcterms:modified xsi:type="dcterms:W3CDTF">2022-09-20T12:22:20Z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