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04" w:rsidRDefault="006D234A">
      <w:pPr>
        <w:pStyle w:val="30"/>
        <w:shd w:val="clear" w:color="auto" w:fill="auto"/>
      </w:pPr>
      <w:r>
        <w:rPr>
          <w:rStyle w:val="31"/>
          <w:b/>
          <w:bCs/>
        </w:rPr>
        <w:t>Администрация Вилючинского городского округа</w:t>
      </w:r>
    </w:p>
    <w:p w:rsidR="00767B04" w:rsidRDefault="006D234A">
      <w:pPr>
        <w:pStyle w:val="30"/>
        <w:shd w:val="clear" w:color="auto" w:fill="auto"/>
      </w:pPr>
      <w:r>
        <w:t>ЗАКРЫТОГО АДМИНИСТРАТИВНО-ТЕРРИТОРИАЛЬНОГО ОБРАЗОВАНИЯ</w:t>
      </w:r>
    </w:p>
    <w:p w:rsidR="00767B04" w:rsidRDefault="006D234A">
      <w:pPr>
        <w:pStyle w:val="30"/>
        <w:shd w:val="clear" w:color="auto" w:fill="auto"/>
        <w:spacing w:after="517"/>
      </w:pPr>
      <w:r>
        <w:rPr>
          <w:rStyle w:val="31"/>
          <w:b/>
          <w:bCs/>
        </w:rPr>
        <w:t>города. Вилючинска Камчатского края</w:t>
      </w:r>
    </w:p>
    <w:p w:rsidR="00767B04" w:rsidRDefault="006D234A">
      <w:pPr>
        <w:pStyle w:val="10"/>
        <w:keepNext/>
        <w:keepLines/>
        <w:shd w:val="clear" w:color="auto" w:fill="auto"/>
        <w:spacing w:before="0" w:after="173" w:line="500" w:lineRule="exact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767B04" w:rsidRPr="00AA6CFA" w:rsidRDefault="00AA6CFA" w:rsidP="00AA6CFA">
      <w:pPr>
        <w:pStyle w:val="40"/>
        <w:shd w:val="clear" w:color="auto" w:fill="auto"/>
        <w:spacing w:before="0" w:after="246" w:line="220" w:lineRule="exact"/>
        <w:ind w:left="142"/>
        <w:jc w:val="both"/>
        <w:rPr>
          <w:rFonts w:ascii="Times New Roman" w:hAnsi="Times New Roman" w:cs="Times New Roman"/>
          <w:sz w:val="28"/>
        </w:rPr>
      </w:pPr>
      <w:r w:rsidRPr="00AA6CFA">
        <w:rPr>
          <w:rFonts w:ascii="Times New Roman" w:hAnsi="Times New Roman" w:cs="Times New Roman"/>
          <w:sz w:val="28"/>
          <w:u w:val="single"/>
        </w:rPr>
        <w:t>от 07.08.2020</w:t>
      </w:r>
      <w:r w:rsidRPr="00AA6CFA">
        <w:rPr>
          <w:rFonts w:ascii="Times New Roman" w:hAnsi="Times New Roman" w:cs="Times New Roman"/>
          <w:sz w:val="28"/>
        </w:rPr>
        <w:tab/>
        <w:t xml:space="preserve">     </w:t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Pr="00AA6CFA">
        <w:rPr>
          <w:rFonts w:ascii="Times New Roman" w:hAnsi="Times New Roman" w:cs="Times New Roman"/>
          <w:sz w:val="28"/>
        </w:rPr>
        <w:tab/>
      </w:r>
      <w:r w:rsidR="006D234A" w:rsidRPr="00AA6CFA">
        <w:rPr>
          <w:rFonts w:ascii="Times New Roman" w:hAnsi="Times New Roman" w:cs="Times New Roman"/>
          <w:sz w:val="28"/>
          <w:u w:val="single"/>
        </w:rPr>
        <w:t>№</w:t>
      </w:r>
      <w:r w:rsidRPr="00AA6CFA">
        <w:rPr>
          <w:rFonts w:ascii="Times New Roman" w:hAnsi="Times New Roman" w:cs="Times New Roman"/>
          <w:sz w:val="28"/>
          <w:u w:val="single"/>
        </w:rPr>
        <w:t xml:space="preserve"> 632</w:t>
      </w:r>
    </w:p>
    <w:p w:rsidR="00767B04" w:rsidRDefault="006D234A">
      <w:pPr>
        <w:pStyle w:val="50"/>
        <w:shd w:val="clear" w:color="auto" w:fill="auto"/>
        <w:spacing w:before="0" w:after="329" w:line="180" w:lineRule="exact"/>
      </w:pPr>
      <w:r>
        <w:t xml:space="preserve">г. </w:t>
      </w:r>
      <w:proofErr w:type="spellStart"/>
      <w:r>
        <w:t>Вилючинск</w:t>
      </w:r>
      <w:proofErr w:type="spellEnd"/>
    </w:p>
    <w:p w:rsidR="00767B04" w:rsidRDefault="006D234A">
      <w:pPr>
        <w:pStyle w:val="20"/>
        <w:shd w:val="clear" w:color="auto" w:fill="auto"/>
        <w:spacing w:before="0"/>
        <w:ind w:right="5300"/>
      </w:pPr>
      <w:r>
        <w:t xml:space="preserve">О внесении изменений в </w:t>
      </w:r>
      <w:bookmarkStart w:id="1" w:name="_GoBack"/>
      <w:bookmarkEnd w:id="1"/>
      <w:r>
        <w:t xml:space="preserve">постановление администрации Вилючинского городского округа от </w:t>
      </w:r>
      <w:r>
        <w:t xml:space="preserve">05.02.2020 № 75 «О мерах по реализации решения Думы Вилючинского городского округа </w:t>
      </w:r>
      <w:proofErr w:type="gramStart"/>
      <w:r>
        <w:t>от</w:t>
      </w:r>
      <w:proofErr w:type="gramEnd"/>
    </w:p>
    <w:p w:rsidR="00767B04" w:rsidRDefault="006D234A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244"/>
        <w:ind w:right="5300"/>
      </w:pPr>
      <w:r>
        <w:t>№ 292/95-6 «О местном бюджете на 2020 год и на плановый период 2021 и 2022 годов»</w:t>
      </w:r>
    </w:p>
    <w:p w:rsidR="00767B04" w:rsidRDefault="006D234A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В соответствии с решением Думы Вилючинского городского округа </w:t>
      </w:r>
      <w:proofErr w:type="gramStart"/>
      <w:r>
        <w:t>от</w:t>
      </w:r>
      <w:proofErr w:type="gramEnd"/>
    </w:p>
    <w:p w:rsidR="00767B04" w:rsidRDefault="006D234A">
      <w:pPr>
        <w:pStyle w:val="20"/>
        <w:numPr>
          <w:ilvl w:val="0"/>
          <w:numId w:val="2"/>
        </w:numPr>
        <w:shd w:val="clear" w:color="auto" w:fill="auto"/>
        <w:tabs>
          <w:tab w:val="left" w:pos="1391"/>
        </w:tabs>
        <w:spacing w:before="0" w:after="330" w:line="317" w:lineRule="exact"/>
        <w:jc w:val="both"/>
      </w:pPr>
      <w:r>
        <w:t xml:space="preserve">№ 292/95-6 «О местном </w:t>
      </w:r>
      <w:r>
        <w:t>бюджете на 2020 год и на плановый период 2021 и 2022 годов»</w:t>
      </w:r>
    </w:p>
    <w:p w:rsidR="00767B04" w:rsidRDefault="006D234A">
      <w:pPr>
        <w:pStyle w:val="60"/>
        <w:shd w:val="clear" w:color="auto" w:fill="auto"/>
        <w:spacing w:before="0" w:after="184" w:line="280" w:lineRule="exact"/>
      </w:pPr>
      <w:r>
        <w:t>ПОСТАНОВЛЯЮ:</w:t>
      </w:r>
    </w:p>
    <w:p w:rsidR="00767B04" w:rsidRDefault="006D234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780"/>
        <w:jc w:val="both"/>
      </w:pPr>
      <w:r>
        <w:t>Внести в постановление администрации Вилючинского городского округа от 05.02.2020 № 75 «О мерах по реализации решения Думы Вилючинского городского округа от 20.12.2019 № 292/95-6 «О м</w:t>
      </w:r>
      <w:r>
        <w:t>естном бюджете на 2020 год и на плановый период 2021 и 2022 годов» следующие изменения:</w:t>
      </w:r>
    </w:p>
    <w:p w:rsidR="00767B04" w:rsidRDefault="006D234A">
      <w:pPr>
        <w:pStyle w:val="20"/>
        <w:shd w:val="clear" w:color="auto" w:fill="auto"/>
        <w:spacing w:before="0"/>
        <w:ind w:firstLine="780"/>
        <w:jc w:val="both"/>
      </w:pPr>
      <w:r>
        <w:t>1.1 дополнить пунктом 15.1 следующего содержания:</w:t>
      </w:r>
    </w:p>
    <w:p w:rsidR="00767B04" w:rsidRDefault="006D234A">
      <w:pPr>
        <w:pStyle w:val="20"/>
        <w:shd w:val="clear" w:color="auto" w:fill="auto"/>
        <w:spacing w:before="0"/>
        <w:ind w:firstLine="780"/>
        <w:jc w:val="both"/>
      </w:pPr>
      <w:r>
        <w:t xml:space="preserve">«15.1. </w:t>
      </w:r>
      <w:proofErr w:type="gramStart"/>
      <w:r>
        <w:t>В соответствии с пунктом 1 части 4 статьи 2.1 Федерального закона от 12.11.2019 № 367-ФЗ «О приостановлении дей</w:t>
      </w:r>
      <w:r>
        <w:t>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установить, что в 2020 году экономия средств, предоставленных из местного бюджета, получен</w:t>
      </w:r>
      <w:r>
        <w:t>ная по итогам определения поставщика (подрядчика, исполнителя) товаров (работ, услуг) для муниципальных нужд (за</w:t>
      </w:r>
      <w:proofErr w:type="gramEnd"/>
      <w:r>
        <w:t xml:space="preserve"> </w:t>
      </w:r>
      <w:proofErr w:type="gramStart"/>
      <w:r>
        <w:t xml:space="preserve">исключением экономии по средствам муниципального дорожного фонда Вилючинского городского округа, экономии по целевым средствам, поступившим из </w:t>
      </w:r>
      <w:r>
        <w:t>других бюджетов бюджетной системы Российской Федерации, а также по средствам, полученным по итогам определения поставщика (подрядчика, исполнителя) товаров (работ, услуг) за счет субсидий на выполнение муниципального задания муниципальными учреждениями) на</w:t>
      </w:r>
      <w:r>
        <w:t>правляется на увеличение объема зарезервированных ассигнований местного бюджета, связанных с профилактикой и устранением последствий распространения</w:t>
      </w:r>
      <w:proofErr w:type="gramEnd"/>
      <w:r>
        <w:t xml:space="preserve"> новой </w:t>
      </w:r>
      <w:proofErr w:type="spellStart"/>
      <w:r>
        <w:lastRenderedPageBreak/>
        <w:t>коронавирусной</w:t>
      </w:r>
      <w:proofErr w:type="spellEnd"/>
      <w:r>
        <w:t xml:space="preserve"> инфекции </w:t>
      </w:r>
      <w:r w:rsidRPr="00AA6C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A6CFA">
        <w:rPr>
          <w:lang w:eastAsia="en-US" w:bidi="en-US"/>
        </w:rPr>
        <w:t xml:space="preserve">-19) </w:t>
      </w:r>
      <w:r>
        <w:t>на территории Вилючинского городского округа, в порядке согласно п</w:t>
      </w:r>
      <w:r>
        <w:t>риложению к настоящему постановлению</w:t>
      </w:r>
      <w:proofErr w:type="gramStart"/>
      <w:r>
        <w:t>.»;</w:t>
      </w:r>
      <w:proofErr w:type="gramEnd"/>
    </w:p>
    <w:p w:rsidR="00767B04" w:rsidRDefault="006D234A">
      <w:pPr>
        <w:pStyle w:val="20"/>
        <w:shd w:val="clear" w:color="auto" w:fill="auto"/>
        <w:spacing w:before="0"/>
        <w:ind w:firstLine="760"/>
        <w:jc w:val="both"/>
      </w:pPr>
      <w:r>
        <w:t>1.2 дополнить приложением согласно приложению к настоящему постановлению.</w:t>
      </w:r>
    </w:p>
    <w:p w:rsidR="00767B04" w:rsidRDefault="006D234A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spacing w:before="0"/>
        <w:ind w:firstLine="760"/>
        <w:jc w:val="both"/>
      </w:pPr>
      <w:r>
        <w:t>Директору муниципального казенного учреждения «</w:t>
      </w:r>
      <w:proofErr w:type="spellStart"/>
      <w:r>
        <w:t>Ресурсно</w:t>
      </w:r>
      <w:proofErr w:type="spellEnd"/>
      <w:r>
        <w:t xml:space="preserve"> - </w:t>
      </w:r>
      <w:proofErr w:type="gramStart"/>
      <w:r>
        <w:t>информационный</w:t>
      </w:r>
      <w:proofErr w:type="gramEnd"/>
      <w:r>
        <w:t xml:space="preserve"> центр» Вилючинского городского округа О.Ю. Трофимовой опубликовать на</w:t>
      </w:r>
      <w:r>
        <w:t>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Вилючинского городского округа ЗАТО </w:t>
      </w:r>
      <w:proofErr w:type="spellStart"/>
      <w:r>
        <w:t>г</w:t>
      </w:r>
      <w:proofErr w:type="gramStart"/>
      <w:r>
        <w:t>.В</w:t>
      </w:r>
      <w:proofErr w:type="gramEnd"/>
      <w:r>
        <w:t>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Вилючинского городского округа в информаци</w:t>
      </w:r>
      <w:r>
        <w:t>онно - телекоммуникационной сети «Интернет».</w:t>
      </w:r>
    </w:p>
    <w:p w:rsidR="00767B04" w:rsidRDefault="006D234A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760"/>
        <w:jc w:val="both"/>
      </w:pPr>
      <w:r>
        <w:t>Настоящее постановление вступает в силу после дня его официального опубликования.</w:t>
      </w:r>
    </w:p>
    <w:p w:rsidR="00767B04" w:rsidRDefault="006D234A">
      <w:pPr>
        <w:pStyle w:val="20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633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главных распорядителей (распорядителей) средств местного бюджета.</w:t>
      </w:r>
    </w:p>
    <w:p w:rsidR="00767B04" w:rsidRDefault="006D234A">
      <w:pPr>
        <w:pStyle w:val="60"/>
        <w:shd w:val="clear" w:color="auto" w:fill="auto"/>
        <w:spacing w:before="0" w:after="0" w:line="280" w:lineRule="exact"/>
        <w:jc w:val="both"/>
      </w:pPr>
      <w:r>
        <w:t>Глава администрации</w:t>
      </w:r>
    </w:p>
    <w:p w:rsidR="00767B04" w:rsidRDefault="006D234A">
      <w:pPr>
        <w:pStyle w:val="60"/>
        <w:shd w:val="clear" w:color="auto" w:fill="auto"/>
        <w:tabs>
          <w:tab w:val="left" w:pos="7704"/>
        </w:tabs>
        <w:spacing w:before="0" w:after="0" w:line="280" w:lineRule="exact"/>
        <w:jc w:val="both"/>
        <w:sectPr w:rsidR="00767B04">
          <w:pgSz w:w="11900" w:h="16840"/>
          <w:pgMar w:top="1019" w:right="656" w:bottom="1151" w:left="1557" w:header="0" w:footer="3" w:gutter="0"/>
          <w:cols w:space="720"/>
          <w:noEndnote/>
          <w:docGrid w:linePitch="360"/>
        </w:sectPr>
      </w:pPr>
      <w:r>
        <w:t>городского округа</w:t>
      </w:r>
      <w:r>
        <w:tab/>
        <w:t>Г.Н. Смирнова</w:t>
      </w:r>
    </w:p>
    <w:p w:rsidR="00767B04" w:rsidRDefault="006D234A" w:rsidP="00AA6CFA">
      <w:pPr>
        <w:pStyle w:val="30"/>
        <w:shd w:val="clear" w:color="auto" w:fill="auto"/>
        <w:tabs>
          <w:tab w:val="left" w:leader="underscore" w:pos="8535"/>
          <w:tab w:val="left" w:leader="underscore" w:pos="9721"/>
        </w:tabs>
        <w:spacing w:after="300" w:line="274" w:lineRule="exact"/>
        <w:ind w:left="6260" w:firstLine="2140"/>
        <w:jc w:val="right"/>
      </w:pPr>
      <w:r>
        <w:lastRenderedPageBreak/>
        <w:t>Приложение к постановлению администрации Вилючинского городского округа</w:t>
      </w:r>
      <w:r w:rsidR="00AA6CFA">
        <w:t xml:space="preserve">      </w:t>
      </w:r>
      <w:r>
        <w:t xml:space="preserve"> </w:t>
      </w:r>
      <w:r w:rsidRPr="00AA6CFA">
        <w:rPr>
          <w:u w:val="single"/>
        </w:rPr>
        <w:t>от</w:t>
      </w:r>
      <w:r w:rsidR="00AA6CFA">
        <w:rPr>
          <w:u w:val="single"/>
        </w:rPr>
        <w:t xml:space="preserve"> </w:t>
      </w:r>
      <w:r w:rsidR="00AA6CFA" w:rsidRPr="00AA6CFA">
        <w:rPr>
          <w:sz w:val="22"/>
          <w:u w:val="single"/>
        </w:rPr>
        <w:t>07.08.2020</w:t>
      </w:r>
      <w:r w:rsidR="00AA6CFA" w:rsidRPr="00AA6CFA">
        <w:rPr>
          <w:sz w:val="22"/>
        </w:rPr>
        <w:t xml:space="preserve">                   </w:t>
      </w:r>
      <w:r>
        <w:t>№</w:t>
      </w:r>
      <w:r w:rsidR="00AA6CFA" w:rsidRPr="00AA6CFA">
        <w:rPr>
          <w:sz w:val="22"/>
          <w:u w:val="single"/>
        </w:rPr>
        <w:t>632</w:t>
      </w:r>
    </w:p>
    <w:p w:rsidR="00767B04" w:rsidRDefault="006D234A">
      <w:pPr>
        <w:pStyle w:val="30"/>
        <w:shd w:val="clear" w:color="auto" w:fill="auto"/>
        <w:spacing w:after="262" w:line="274" w:lineRule="exact"/>
        <w:ind w:left="6260"/>
        <w:jc w:val="right"/>
      </w:pPr>
      <w:r>
        <w:t>«Приложение к постановлению администрации Вилючинского городского округа от 05.02.2020 № 75</w:t>
      </w:r>
    </w:p>
    <w:p w:rsidR="00767B04" w:rsidRDefault="006D234A">
      <w:pPr>
        <w:pStyle w:val="20"/>
        <w:shd w:val="clear" w:color="auto" w:fill="auto"/>
        <w:spacing w:before="0"/>
        <w:ind w:left="20"/>
        <w:jc w:val="center"/>
      </w:pPr>
      <w:r>
        <w:t>Порядок</w:t>
      </w:r>
    </w:p>
    <w:p w:rsidR="00767B04" w:rsidRDefault="006D234A">
      <w:pPr>
        <w:pStyle w:val="20"/>
        <w:shd w:val="clear" w:color="auto" w:fill="auto"/>
        <w:spacing w:before="0"/>
        <w:ind w:left="20"/>
        <w:jc w:val="center"/>
      </w:pPr>
      <w:r>
        <w:t>напра</w:t>
      </w:r>
      <w:r>
        <w:t>вления экономии средств, предоставленных из местного бюджета,</w:t>
      </w:r>
      <w:r>
        <w:br/>
        <w:t>полученной по итогам определения поставщика (подрядчика, исполнителя)</w:t>
      </w:r>
      <w:r>
        <w:br/>
        <w:t>товаров (работ, услуг) для муниципальных нужд на увеличение объема</w:t>
      </w:r>
      <w:r>
        <w:br/>
        <w:t>зарезервированных ассигнований местного бюджета, связанны</w:t>
      </w:r>
      <w:r>
        <w:t xml:space="preserve">х </w:t>
      </w:r>
      <w:proofErr w:type="gramStart"/>
      <w:r>
        <w:t>с</w:t>
      </w:r>
      <w:proofErr w:type="gramEnd"/>
    </w:p>
    <w:p w:rsidR="00767B04" w:rsidRDefault="006D234A">
      <w:pPr>
        <w:pStyle w:val="20"/>
        <w:shd w:val="clear" w:color="auto" w:fill="auto"/>
        <w:spacing w:before="0"/>
        <w:ind w:left="20"/>
        <w:jc w:val="center"/>
      </w:pPr>
      <w:r>
        <w:t>профилактикой и устранением последствий распространения новой</w:t>
      </w:r>
      <w:r>
        <w:br/>
      </w:r>
      <w:proofErr w:type="spellStart"/>
      <w:r>
        <w:t>коронавирусной</w:t>
      </w:r>
      <w:proofErr w:type="spellEnd"/>
      <w:r>
        <w:t xml:space="preserve"> инфекции </w:t>
      </w:r>
      <w:r w:rsidRPr="00AA6C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A6CFA">
        <w:rPr>
          <w:lang w:eastAsia="en-US" w:bidi="en-US"/>
        </w:rPr>
        <w:t>-</w:t>
      </w:r>
      <w:r>
        <w:t>19) на территории Вилючинского</w:t>
      </w:r>
    </w:p>
    <w:p w:rsidR="00767B04" w:rsidRDefault="006D234A">
      <w:pPr>
        <w:pStyle w:val="20"/>
        <w:shd w:val="clear" w:color="auto" w:fill="auto"/>
        <w:spacing w:before="0" w:after="300"/>
        <w:ind w:left="20"/>
        <w:jc w:val="center"/>
      </w:pPr>
      <w:r>
        <w:t>городского округа</w:t>
      </w:r>
    </w:p>
    <w:p w:rsidR="00767B04" w:rsidRDefault="006D234A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before="0"/>
        <w:ind w:firstLine="760"/>
        <w:jc w:val="both"/>
      </w:pPr>
      <w:r>
        <w:t xml:space="preserve">Настоящий Порядок разработан в </w:t>
      </w:r>
      <w:proofErr w:type="gramStart"/>
      <w:r>
        <w:t>целях</w:t>
      </w:r>
      <w:proofErr w:type="gramEnd"/>
      <w:r>
        <w:t xml:space="preserve"> увеличения объема зарезервированных ассигнований местного бюджета, связанных с профилактикой и устранением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A6C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A6CFA">
        <w:rPr>
          <w:lang w:eastAsia="en-US" w:bidi="en-US"/>
        </w:rPr>
        <w:t>-19).</w:t>
      </w:r>
    </w:p>
    <w:p w:rsidR="00767B04" w:rsidRDefault="006D234A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firstLine="760"/>
      </w:pPr>
      <w:proofErr w:type="gramStart"/>
      <w:r>
        <w:t>Действие настоящего Порядка распространяет</w:t>
      </w:r>
      <w:r>
        <w:t>ся на органы местного самоуправления Вилючинского городского округа, структурные подразделения администрации Вилючинского городского округа, муниципальные казенные и бюджетные учреждения Вилючинского городского округа (далее муниципальные учреждения), осущ</w:t>
      </w:r>
      <w:r>
        <w:t>ествляющие закупки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67B04" w:rsidRDefault="006D234A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before="0"/>
        <w:ind w:firstLine="760"/>
        <w:jc w:val="both"/>
      </w:pPr>
      <w:proofErr w:type="gramStart"/>
      <w:r>
        <w:t>Под экономией средств, предоставленных из местного</w:t>
      </w:r>
      <w:r>
        <w:t xml:space="preserve"> бюджета, полученной по итогам определения поставщика (подрядчика, исполнителя) товаров (работ, услуг) для муниципальных нужд (далее - экономия средств по итогам определения поставщика), понимается остаток средств, полученный в результате определения поста</w:t>
      </w:r>
      <w:r>
        <w:t>вщика (подрядчика, исполнителя) за счет разницы между начальной (максимальной) ценой контракта, начальной суммой цен единиц товара, работы, услуги и ценой заключенного контракта.</w:t>
      </w:r>
      <w:proofErr w:type="gramEnd"/>
    </w:p>
    <w:p w:rsidR="00767B04" w:rsidRDefault="006D234A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before="0"/>
        <w:ind w:firstLine="760"/>
        <w:jc w:val="both"/>
      </w:pPr>
      <w:proofErr w:type="gramStart"/>
      <w:r>
        <w:t>Муниципальные учреждения в течение 2 рабочих дней с даты образования экономии</w:t>
      </w:r>
      <w:r>
        <w:t xml:space="preserve"> средств по итогам определения поставщика уведомляют структурные подразделения администрации Вилючинского городского округа, осуществляющие функции и полномочия учредителей в отношении подведомственных муниципальных учреждений, по форме согласно приложению</w:t>
      </w:r>
      <w:r>
        <w:t xml:space="preserve"> к настоящему Порядку о суммах экономии.</w:t>
      </w:r>
      <w:proofErr w:type="gramEnd"/>
    </w:p>
    <w:p w:rsidR="00767B04" w:rsidRDefault="006D234A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  <w:jc w:val="both"/>
      </w:pPr>
      <w:proofErr w:type="gramStart"/>
      <w:r>
        <w:t>Структурные подразделения администрации Вилючинского городского округа в течение 5 рабочих дней с даты получения уведомления о суммах экономии средств по итогам определения поставщика от подведомственных муниципальн</w:t>
      </w:r>
      <w:r>
        <w:t xml:space="preserve">ых учреждений либо в течение 5 рабочих дней с даты образования </w:t>
      </w:r>
      <w:r>
        <w:lastRenderedPageBreak/>
        <w:t>экономии средств по итогам определения поставщика у органов местного самоуправления Вилючинского городского округа, направляют в финансовое управление администрации Вилючинского городского окру</w:t>
      </w:r>
      <w:r>
        <w:t>га документы для внесения</w:t>
      </w:r>
      <w:proofErr w:type="gramEnd"/>
      <w:r>
        <w:t xml:space="preserve"> изменений в показатели сводной бюджетной росписи местного бюджета и лимитов бюджетных обязатель</w:t>
      </w:r>
      <w:proofErr w:type="gramStart"/>
      <w:r>
        <w:t>ств с пр</w:t>
      </w:r>
      <w:proofErr w:type="gramEnd"/>
      <w:r>
        <w:t>иложением информации по форме согласно приложению к настоящему Порядку.</w:t>
      </w:r>
    </w:p>
    <w:p w:rsidR="00767B04" w:rsidRDefault="006D234A">
      <w:pPr>
        <w:pStyle w:val="20"/>
        <w:shd w:val="clear" w:color="auto" w:fill="auto"/>
        <w:spacing w:before="0"/>
        <w:ind w:firstLine="740"/>
        <w:jc w:val="both"/>
        <w:sectPr w:rsidR="00767B04">
          <w:pgSz w:w="11900" w:h="16840"/>
          <w:pgMar w:top="1049" w:right="634" w:bottom="997" w:left="1541" w:header="0" w:footer="3" w:gutter="0"/>
          <w:cols w:space="720"/>
          <w:noEndnote/>
          <w:docGrid w:linePitch="360"/>
        </w:sectPr>
      </w:pPr>
      <w:r>
        <w:t xml:space="preserve">6. </w:t>
      </w:r>
      <w:proofErr w:type="gramStart"/>
      <w:r>
        <w:t>Финансовое управление администр</w:t>
      </w:r>
      <w:r>
        <w:t>ации Вилючинского городского округа в течение 3 рабочих дней с даты поступления от структурных подразделений администрации Вилючинского городского округа документов в соответствии с частью 5 настоящего Порядка вносит изменения в сводную бюджетную роспись м</w:t>
      </w:r>
      <w:r>
        <w:t>естного бюджета и лимиты бюджетных обязательств, обеспечивая направление экономии средств по итогам определения поставщика на увеличение объема зарезервированных ассигнований местного бюджета, связанных с профилактикой и</w:t>
      </w:r>
      <w:proofErr w:type="gramEnd"/>
      <w:r>
        <w:t xml:space="preserve"> устранением последствий распростран</w:t>
      </w:r>
      <w:r>
        <w:t xml:space="preserve">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A6C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A6CFA">
        <w:rPr>
          <w:lang w:eastAsia="en-US" w:bidi="en-US"/>
        </w:rPr>
        <w:t xml:space="preserve">-19) </w:t>
      </w:r>
      <w:r>
        <w:t>на территории Вилючинского городского округа.</w:t>
      </w:r>
    </w:p>
    <w:p w:rsidR="00767B04" w:rsidRDefault="006D234A">
      <w:pPr>
        <w:pStyle w:val="30"/>
        <w:shd w:val="clear" w:color="auto" w:fill="auto"/>
        <w:spacing w:after="240" w:line="274" w:lineRule="exact"/>
        <w:ind w:left="5160"/>
        <w:jc w:val="right"/>
      </w:pPr>
      <w:proofErr w:type="gramStart"/>
      <w:r>
        <w:lastRenderedPageBreak/>
        <w:t>Приложение к Порядку направления экономии средств, предоставленных из местного бюджета, полученной по итогам определения поставщика (подрядчика, исполнителя) товаро</w:t>
      </w:r>
      <w:r>
        <w:t xml:space="preserve">в (работ, услуг) для муниципальных нужд на увеличение объема зарезервированных ассигнований местного бюджета, связанных с профилактикой и устранением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A6C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A6CFA">
        <w:rPr>
          <w:lang w:eastAsia="en-US" w:bidi="en-US"/>
        </w:rPr>
        <w:t xml:space="preserve">-19) </w:t>
      </w:r>
      <w:r>
        <w:t>на территории Вилючинского городского</w:t>
      </w:r>
      <w:r>
        <w:t xml:space="preserve"> округа</w:t>
      </w:r>
      <w:proofErr w:type="gramEnd"/>
    </w:p>
    <w:p w:rsidR="00767B04" w:rsidRDefault="006D234A">
      <w:pPr>
        <w:pStyle w:val="30"/>
        <w:shd w:val="clear" w:color="auto" w:fill="auto"/>
        <w:spacing w:line="274" w:lineRule="exact"/>
        <w:ind w:left="40"/>
      </w:pPr>
      <w:proofErr w:type="gramStart"/>
      <w:r>
        <w:t>Сведения об экономии средств, предоставленных из местного бюджета, полученной по</w:t>
      </w:r>
      <w:r>
        <w:br/>
        <w:t>итогам определения поставщика (подрядчика, исполнителя) товаров (работ, услуг) для</w:t>
      </w:r>
      <w:r>
        <w:br/>
        <w:t>муниципальных нужд на увеличение объема зарезервированных ассигнований местного</w:t>
      </w:r>
      <w:r>
        <w:br/>
        <w:t>бюдж</w:t>
      </w:r>
      <w:r>
        <w:t>ета, связанных с профилактикой и устранением последствий распространения новой</w:t>
      </w:r>
      <w:r>
        <w:br/>
      </w:r>
      <w:proofErr w:type="spellStart"/>
      <w:r>
        <w:t>коронавирусной</w:t>
      </w:r>
      <w:proofErr w:type="spellEnd"/>
      <w:r>
        <w:t xml:space="preserve"> инфекции </w:t>
      </w:r>
      <w:r w:rsidRPr="00AA6CF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AA6CFA">
        <w:rPr>
          <w:lang w:eastAsia="en-US" w:bidi="en-US"/>
        </w:rPr>
        <w:t xml:space="preserve">-19) </w:t>
      </w:r>
      <w:r>
        <w:t>на территории Вилючинского городского округа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670"/>
        <w:gridCol w:w="173"/>
        <w:gridCol w:w="1555"/>
        <w:gridCol w:w="994"/>
        <w:gridCol w:w="1694"/>
        <w:gridCol w:w="1565"/>
        <w:gridCol w:w="1560"/>
      </w:tblGrid>
      <w:tr w:rsidR="00767B04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120" w:line="200" w:lineRule="exact"/>
              <w:ind w:left="16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line="200" w:lineRule="exact"/>
              <w:ind w:left="160"/>
            </w:pPr>
            <w:proofErr w:type="gramStart"/>
            <w:r>
              <w:rPr>
                <w:rStyle w:val="210pt"/>
              </w:rPr>
              <w:t>п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pt"/>
              </w:rPr>
              <w:t xml:space="preserve">Наименование </w:t>
            </w:r>
            <w:proofErr w:type="gramStart"/>
            <w:r>
              <w:rPr>
                <w:rStyle w:val="210pt"/>
              </w:rPr>
              <w:t xml:space="preserve">органов местного самоуправления/ структурных подразделений администрации/ </w:t>
            </w:r>
            <w:r>
              <w:rPr>
                <w:rStyle w:val="210pt"/>
              </w:rPr>
              <w:t>муниципальных учреждений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120" w:line="200" w:lineRule="exact"/>
            </w:pPr>
            <w:r>
              <w:rPr>
                <w:rStyle w:val="210pt"/>
              </w:rPr>
              <w:t>Наименование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заказчика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280"/>
            </w:pPr>
            <w:proofErr w:type="spellStart"/>
            <w:r>
              <w:rPr>
                <w:rStyle w:val="212pt"/>
              </w:rPr>
              <w:t>икз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0pt"/>
              </w:rPr>
              <w:t>Начальная (максимальная) цена контракта (руб.)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pt"/>
              </w:rPr>
              <w:t>Цена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"/>
              </w:rPr>
              <w:t>заключенного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pt"/>
              </w:rPr>
              <w:t>контракта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Сумма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60" w:line="200" w:lineRule="exact"/>
              <w:jc w:val="center"/>
            </w:pPr>
            <w:r>
              <w:rPr>
                <w:rStyle w:val="210pt"/>
              </w:rPr>
              <w:t>экономии</w:t>
            </w:r>
          </w:p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(руб.)</w:t>
            </w:r>
          </w:p>
        </w:tc>
      </w:tr>
      <w:tr w:rsidR="00767B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12pt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B04" w:rsidRDefault="006D23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 = 5-6</w:t>
            </w:r>
          </w:p>
        </w:tc>
      </w:tr>
      <w:tr w:rsidR="00767B0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B0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B0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B04" w:rsidRDefault="00767B0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7B04" w:rsidRDefault="00767B04">
      <w:pPr>
        <w:framePr w:w="9648" w:wrap="notBeside" w:vAnchor="text" w:hAnchor="text" w:xAlign="center" w:y="1"/>
        <w:rPr>
          <w:sz w:val="2"/>
          <w:szCs w:val="2"/>
        </w:rPr>
      </w:pPr>
    </w:p>
    <w:p w:rsidR="00767B04" w:rsidRDefault="00767B04">
      <w:pPr>
        <w:rPr>
          <w:sz w:val="2"/>
          <w:szCs w:val="2"/>
        </w:rPr>
      </w:pPr>
    </w:p>
    <w:p w:rsidR="00767B04" w:rsidRDefault="00767B04">
      <w:pPr>
        <w:rPr>
          <w:sz w:val="2"/>
          <w:szCs w:val="2"/>
        </w:rPr>
      </w:pPr>
    </w:p>
    <w:sectPr w:rsidR="00767B04">
      <w:pgSz w:w="11900" w:h="16840"/>
      <w:pgMar w:top="1034" w:right="624" w:bottom="1034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A" w:rsidRDefault="006D234A">
      <w:r>
        <w:separator/>
      </w:r>
    </w:p>
  </w:endnote>
  <w:endnote w:type="continuationSeparator" w:id="0">
    <w:p w:rsidR="006D234A" w:rsidRDefault="006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A" w:rsidRDefault="006D234A"/>
  </w:footnote>
  <w:footnote w:type="continuationSeparator" w:id="0">
    <w:p w:rsidR="006D234A" w:rsidRDefault="006D23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E4"/>
    <w:multiLevelType w:val="multilevel"/>
    <w:tmpl w:val="48D43D10"/>
    <w:lvl w:ilvl="0">
      <w:start w:val="2019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81CED"/>
    <w:multiLevelType w:val="multilevel"/>
    <w:tmpl w:val="DF9C1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46773"/>
    <w:multiLevelType w:val="multilevel"/>
    <w:tmpl w:val="C8ECB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E4EF0"/>
    <w:multiLevelType w:val="multilevel"/>
    <w:tmpl w:val="16C60A88"/>
    <w:lvl w:ilvl="0">
      <w:start w:val="2019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4"/>
    <w:rsid w:val="006D234A"/>
    <w:rsid w:val="00767B04"/>
    <w:rsid w:val="009D1000"/>
    <w:rsid w:val="00A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50"/>
      <w:szCs w:val="5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9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1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50"/>
      <w:szCs w:val="5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9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1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2020-08-09T22:40:00Z</cp:lastPrinted>
  <dcterms:created xsi:type="dcterms:W3CDTF">2020-08-09T22:34:00Z</dcterms:created>
  <dcterms:modified xsi:type="dcterms:W3CDTF">2020-08-09T22:46:00Z</dcterms:modified>
</cp:coreProperties>
</file>