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</w:rPr>
      </w:pPr>
      <w:r>
        <w:rPr>
          <w:b/>
        </w:rPr>
        <w:t>ПРОТОКОЛ</w:t>
      </w:r>
    </w:p>
    <w:p>
      <w:pPr>
        <w:pStyle w:val="Normal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 xml:space="preserve">ЗАСЕДАНИЯ АНТИТЕРРОРИСТИЧЕСКОЙ КОМИССИИ </w:t>
      </w:r>
    </w:p>
    <w:p>
      <w:pPr>
        <w:pStyle w:val="Normal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ВИЛЮЧИНСКОГО ГОРОДСКОГО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5724" w:tblpY="160"/>
        <w:tblW w:w="41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5"/>
        <w:gridCol w:w="1156"/>
        <w:gridCol w:w="776"/>
        <w:gridCol w:w="540"/>
        <w:gridCol w:w="776"/>
      </w:tblGrid>
      <w:tr>
        <w:trPr/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«24»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ind w:start="-51" w:end="0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hd w:val="clear" w:fill="FFFFFF"/>
        <w:ind w:start="5" w:end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Присутствовали:</w:t>
      </w:r>
    </w:p>
    <w:p>
      <w:pPr>
        <w:pStyle w:val="Normal"/>
        <w:shd w:val="clear" w:fill="FFFFFF"/>
        <w:ind w:start="5" w:end="0"/>
        <w:rPr/>
      </w:pPr>
      <w:r>
        <w:rPr/>
        <w:t xml:space="preserve">                                                                               </w:t>
      </w:r>
    </w:p>
    <w:tbl>
      <w:tblPr>
        <w:tblW w:w="10373" w:type="dxa"/>
        <w:jc w:val="start"/>
        <w:tblInd w:w="-17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73"/>
      </w:tblGrid>
      <w:tr>
        <w:trPr/>
        <w:tc>
          <w:tcPr>
            <w:tcW w:w="10373" w:type="dxa"/>
            <w:tcBorders/>
          </w:tcPr>
          <w:tbl>
            <w:tblPr>
              <w:tblW w:w="9973" w:type="dxa"/>
              <w:jc w:val="start"/>
              <w:tblInd w:w="745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4192"/>
              <w:gridCol w:w="404"/>
              <w:gridCol w:w="5377"/>
            </w:tblGrid>
            <w:tr>
              <w:trPr/>
              <w:tc>
                <w:tcPr>
                  <w:tcW w:w="9973" w:type="dxa"/>
                  <w:gridSpan w:val="3"/>
                  <w:tcBorders/>
                </w:tcPr>
                <w:p>
                  <w:pPr>
                    <w:pStyle w:val="Normal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Председатель комиссии:</w:t>
                  </w:r>
                </w:p>
              </w:tc>
            </w:tr>
            <w:tr>
              <w:trPr/>
              <w:tc>
                <w:tcPr>
                  <w:tcW w:w="4192" w:type="dxa"/>
                  <w:tcBorders/>
                </w:tcPr>
                <w:p>
                  <w:pPr>
                    <w:pStyle w:val="Normal"/>
                    <w:jc w:val="both"/>
                    <w:rPr>
                      <w:b w:val="false"/>
                      <w:bCs w:val="false"/>
                      <w:i w:val="false"/>
                      <w:i w:val="false"/>
                      <w:iCs w:val="false"/>
                    </w:rPr>
                  </w:pPr>
                  <w:r>
                    <w:rPr>
                      <w:b w:val="false"/>
                      <w:bCs w:val="false"/>
                      <w:i w:val="false"/>
                      <w:iCs w:val="false"/>
                      <w:sz w:val="28"/>
                      <w:szCs w:val="28"/>
                    </w:rPr>
                    <w:t>Бондаренко Олег Сергеевич</w:t>
                  </w:r>
                </w:p>
              </w:tc>
              <w:tc>
                <w:tcPr>
                  <w:tcW w:w="404" w:type="dxa"/>
                  <w:tcBorders/>
                </w:tcPr>
                <w:p>
                  <w:pPr>
                    <w:pStyle w:val="Normal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377" w:type="dxa"/>
                  <w:tcBorders/>
                </w:tcPr>
                <w:p>
                  <w:pPr>
                    <w:pStyle w:val="Normal"/>
                    <w:tabs>
                      <w:tab w:val="clear" w:pos="708"/>
                      <w:tab w:val="left" w:pos="4887" w:leader="none"/>
                    </w:tabs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глава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Вилючинского городского округа.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1774" w:leader="none"/>
                      <w:tab w:val="left" w:pos="4887" w:leader="none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9973" w:type="dxa"/>
                  <w:gridSpan w:val="3"/>
                  <w:tcBorders/>
                </w:tcPr>
                <w:tbl>
                  <w:tblPr>
                    <w:tblW w:w="9531" w:type="dxa"/>
                    <w:jc w:val="start"/>
                    <w:tblInd w:w="0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4016"/>
                    <w:gridCol w:w="414"/>
                    <w:gridCol w:w="5101"/>
                  </w:tblGrid>
                  <w:tr>
                    <w:trPr/>
                    <w:tc>
                      <w:tcPr>
                        <w:tcW w:w="9531" w:type="dxa"/>
                        <w:gridSpan w:val="3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Заместители председателя комиссии: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Архипов Вячеслав Дмитриевич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начальник отдела общественной безопасности и пропускного режима                                                                              администрации;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Секретарь комиссии:</w:t>
                        </w:r>
                      </w:p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Пудовкин Николай Витальевич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sz w:val="28"/>
                            <w:szCs w:val="28"/>
                          </w:rPr>
                          <w:t>советник отдела общественной безопасности и пропускного режима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администрации.</w:t>
                        </w:r>
                      </w:p>
                    </w:tc>
                  </w:tr>
                  <w:tr>
                    <w:trPr/>
                    <w:tc>
                      <w:tcPr>
                        <w:tcW w:w="9531" w:type="dxa"/>
                        <w:gridSpan w:val="3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Члены комиссии: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Василистов Алексей</w:t>
                        </w:r>
                      </w:p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Михайлович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командира войсковой части                                                               09703-Ш;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Горбовский Сергей Викторович</w:t>
                        </w:r>
                      </w:p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начальника ФГКУ «СУ  ФПС № 79 МЧС России»;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i w:val="false"/>
                            <w:i w:val="false"/>
                            <w:iCs w:val="false"/>
                          </w:rPr>
                        </w:pPr>
                        <w:r>
                          <w:rPr>
                            <w:i w:val="false"/>
                            <w:iCs w:val="false"/>
                            <w:sz w:val="28"/>
                            <w:szCs w:val="28"/>
                          </w:rPr>
                          <w:t>Воробьев Егор Сергеевич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офицер отделения в г. Вилючинске  УФСБ  России по Камчатскому краю.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Костенко Иван Васильевич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sz w:val="28"/>
                            <w:szCs w:val="28"/>
                          </w:rPr>
                          <w:t>директор МКУ «УЗЧС»;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/>
                        </w:pPr>
                        <w:r>
                          <w:rPr>
                            <w:sz w:val="28"/>
                            <w:szCs w:val="28"/>
                          </w:rPr>
                          <w:t>Прихожий Сергей Петрович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sz w:val="28"/>
                            <w:szCs w:val="28"/>
                          </w:rPr>
                          <w:t>офицер ФГКУ «ОВО ВНГ России» по                                                                Камчатскому краю;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ind w:start="-74" w:end="0"/>
                          <w:jc w:val="both"/>
                          <w:rPr/>
                        </w:pPr>
                        <w:r>
                          <w:rPr>
                            <w:sz w:val="28"/>
                            <w:szCs w:val="28"/>
                          </w:rPr>
                          <w:t>Шевцов Василий Леонидович</w:t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председатель Думы Вилючинского                                                               городского округа.</w:t>
                        </w:r>
                      </w:p>
                    </w:tc>
                  </w:tr>
                  <w:tr>
                    <w:trPr/>
                    <w:tc>
                      <w:tcPr>
                        <w:tcW w:w="4016" w:type="dxa"/>
                        <w:tcBorders/>
                      </w:tcPr>
                      <w:p>
                        <w:pPr>
                          <w:pStyle w:val="Normal"/>
                          <w:snapToGrid w:val="false"/>
                          <w:ind w:hanging="108" w:end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414" w:type="dxa"/>
                        <w:tcBorders/>
                      </w:tcPr>
                      <w:p>
                        <w:pPr>
                          <w:pStyle w:val="Normal"/>
                          <w:snapToGrid w:val="false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5101" w:type="dxa"/>
                        <w:tcBorders/>
                      </w:tcPr>
                      <w:p>
                        <w:pPr>
                          <w:pStyle w:val="Normal"/>
                          <w:snapToGrid w:val="false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5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</w:tblGrid>
      <w:tr>
        <w:trPr>
          <w:trHeight w:val="80" w:hRule="atLeast"/>
        </w:trPr>
        <w:tc>
          <w:tcPr>
            <w:tcW w:w="550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9923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252"/>
        <w:gridCol w:w="5670"/>
      </w:tblGrid>
      <w:tr>
        <w:trPr>
          <w:trHeight w:val="23" w:hRule="atLeast"/>
        </w:trPr>
        <w:tc>
          <w:tcPr>
            <w:tcW w:w="4252" w:type="dxa"/>
            <w:tcBorders/>
            <w:shd w:fill="FFFFFF" w:val="clear"/>
          </w:tcPr>
          <w:p>
            <w:pPr>
              <w:pStyle w:val="Normal"/>
              <w:shd w:val="clear" w:fill="FFFFFF"/>
              <w:snapToGrid w:val="false"/>
              <w:ind w:start="5" w:end="0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</w:r>
          </w:p>
        </w:tc>
        <w:tc>
          <w:tcPr>
            <w:tcW w:w="5670" w:type="dxa"/>
            <w:tcBorders/>
            <w:shd w:fill="FFFFFF" w:val="clear"/>
          </w:tcPr>
          <w:p>
            <w:pPr>
              <w:pStyle w:val="Normal"/>
              <w:shd w:val="clear" w:fill="FFFFFF"/>
              <w:snapToGrid w:val="false"/>
              <w:ind w:firstLine="10" w:end="0"/>
              <w:rPr>
                <w:spacing w:val="-1"/>
                <w:sz w:val="26"/>
                <w:szCs w:val="26"/>
                <w:lang w:val="ru-RU" w:eastAsia="ru-RU"/>
              </w:rPr>
            </w:pPr>
            <w:r>
              <w:rPr>
                <w:spacing w:val="-1"/>
                <w:sz w:val="26"/>
                <w:szCs w:val="26"/>
                <w:lang w:val="ru-RU" w:eastAsia="ru-RU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0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6"/>
        <w:gridCol w:w="7480"/>
        <w:gridCol w:w="173"/>
      </w:tblGrid>
      <w:tr>
        <w:trPr/>
        <w:tc>
          <w:tcPr>
            <w:tcW w:w="237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Цыпкова</w:t>
            </w:r>
            <w:r>
              <w:rPr>
                <w:sz w:val="28"/>
                <w:szCs w:val="28"/>
              </w:rPr>
              <w:t xml:space="preserve"> В.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Губарец Е.Л.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48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ИО </w:t>
            </w:r>
            <w:r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социальной политики;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заместитель начальника полиции по охране общественного порядка ОМВД России по ЗАТО Вилючинск.</w:t>
            </w:r>
          </w:p>
        </w:tc>
        <w:tc>
          <w:tcPr>
            <w:tcW w:w="1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rPr/>
      </w:pPr>
      <w:r>
        <w:rPr/>
      </w:r>
    </w:p>
    <w:tbl>
      <w:tblPr>
        <w:tblW w:w="99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81"/>
      </w:tblGrid>
      <w:tr>
        <w:trPr>
          <w:trHeight w:val="652" w:hRule="atLeast"/>
        </w:trPr>
        <w:tc>
          <w:tcPr>
            <w:tcW w:w="9981" w:type="dxa"/>
            <w:tcBorders>
              <w:top w:val="thinThickSmallGap" w:sz="12" w:space="0" w:color="000000"/>
              <w:bottom w:val="thinThickSmallGap" w:sz="12" w:space="0" w:color="000000"/>
            </w:tcBorders>
          </w:tcPr>
          <w:p>
            <w:pPr>
              <w:pStyle w:val="Style17"/>
              <w:numPr>
                <w:ilvl w:val="0"/>
                <w:numId w:val="4"/>
              </w:numPr>
              <w:shd w:val="clear" w:fill="FFFFFF"/>
              <w:ind w:hanging="360" w:start="0" w:end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1. О состоянии оперативной обстановки в области противодействия терроризму на территории Вилючинского городского округа и принятия дополнительных мер по недопущению террористических актов в мест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массового пребывания людей в период новогодних и рождественских праздников.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Выступили: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start="0" w:end="0"/>
        <w:rPr>
          <w:sz w:val="28"/>
          <w:szCs w:val="28"/>
        </w:rPr>
      </w:pPr>
      <w:r>
        <w:rPr>
          <w:sz w:val="28"/>
          <w:szCs w:val="28"/>
        </w:rPr>
        <w:t>Воробьев Е.С</w:t>
      </w:r>
      <w:r>
        <w:rPr>
          <w:sz w:val="28"/>
          <w:szCs w:val="28"/>
        </w:rPr>
        <w:t xml:space="preserve">. - </w:t>
      </w:r>
      <w:r>
        <w:rPr>
          <w:sz w:val="28"/>
          <w:szCs w:val="28"/>
        </w:rPr>
        <w:t>офицер</w:t>
      </w:r>
      <w:r>
        <w:rPr>
          <w:sz w:val="28"/>
          <w:szCs w:val="28"/>
        </w:rPr>
        <w:t xml:space="preserve"> отделения в г. Вилючинске УФСБ России по Камчатскому краю;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start="0" w:end="0"/>
        <w:rPr>
          <w:sz w:val="28"/>
          <w:szCs w:val="28"/>
        </w:rPr>
      </w:pPr>
      <w:r>
        <w:rPr>
          <w:sz w:val="28"/>
          <w:szCs w:val="28"/>
        </w:rPr>
        <w:t>Губарец Е.Л</w:t>
      </w:r>
      <w:r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заместитель начальника полиции по охране общественного порядка ОМВД России по ЗАТО Вилючинск.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докладчиков принять к сведению.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отделению УФСБ России в г. Вилючинске (Устюгов Е.О.), ОМВД России по ЗАТО г. Вилючинск (Гавриленко С.М.):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бесперебойный обмен оперативно-значимой информацией для принятия совместных мер по предупреждению террористических проявлений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с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 по 11 января 2026</w:t>
      </w:r>
      <w:r>
        <w:rPr>
          <w:sz w:val="28"/>
          <w:szCs w:val="28"/>
        </w:rPr>
        <w:t>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спланировать и реализовать комплекс дополнительных оперативно-розыскных и профилактических мероприятий, направленных на нейтрализацию возможных террористических угроз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с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 по 11 января 2026</w:t>
      </w:r>
      <w:r>
        <w:rPr>
          <w:sz w:val="28"/>
          <w:szCs w:val="28"/>
        </w:rPr>
        <w:t>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готовность сил и средств, привлекаемых к проведению первоочередных мероприятий по пресечению возможных террористических актов на территории ВГО, уточнить схемы оповещения 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с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 по 11 января 2026.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МКУ «УЗЧС» (Костенко И.В.):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0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в ЕДДС «праздничную папку» с копиями приказов руководителей организаций ВГО о назначении ответственных должностных лиц в выходные и праздничные дни с 31.12.2025 по 11.01.2026 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срок - до 29 декабря 2025;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0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проверку и при необходимости ремонт систем видеонаблюдения в местах массового пребывания людей (далее – ММПЛ) и местах проведения народных гуляний и рождественских служб.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до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0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взаимодействие с дежурной службой ОМВД России по ЗАТО Вилючинск в целях оперативного устранения выявленных недостатков работы системы видеонаблюдения.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с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 до 12.01.2026;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0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взаимодействие с дежурными службами ГБУЗ КК «Вилючинская городская больница» и ФГКУ «Специальное управление ФПС № 79 МЧС России» в целях организации дежурства экстренных служб вблизи мест проведения массовых праздничных мероприятий.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с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 до 11.01.2026;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0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бесперебойную работу системы видеонаблюдения в местах массового пребывания людей и местах проведения народных гуляний и рождественских служб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срок - с 2</w:t>
      </w:r>
      <w:r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декабря 2025 по 11 января 2026;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обеспечить </w:t>
      </w:r>
      <w:r>
        <w:rPr>
          <w:i w:val="false"/>
          <w:iCs w:val="false"/>
          <w:sz w:val="28"/>
          <w:szCs w:val="28"/>
        </w:rPr>
        <w:t xml:space="preserve">установку арочных металлодетекторов в количестве 2-х штук </w:t>
      </w:r>
      <w:r>
        <w:rPr>
          <w:i w:val="false"/>
          <w:iCs w:val="false"/>
          <w:sz w:val="28"/>
          <w:szCs w:val="28"/>
        </w:rPr>
        <w:t xml:space="preserve">в </w:t>
      </w:r>
      <w:r>
        <w:rPr>
          <w:i w:val="false"/>
          <w:iCs w:val="false"/>
          <w:sz w:val="28"/>
          <w:szCs w:val="28"/>
        </w:rPr>
        <w:t>мест</w:t>
      </w:r>
      <w:r>
        <w:rPr>
          <w:i w:val="false"/>
          <w:iCs w:val="false"/>
          <w:sz w:val="28"/>
          <w:szCs w:val="28"/>
        </w:rPr>
        <w:t>е массового пребывания пребывания людей</w:t>
      </w:r>
      <w:r>
        <w:rPr>
          <w:i w:val="false"/>
          <w:iCs w:val="false"/>
          <w:sz w:val="28"/>
          <w:szCs w:val="28"/>
        </w:rPr>
        <w:t xml:space="preserve"> 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  <w:u w:val="single"/>
        </w:rPr>
        <w:t xml:space="preserve">срок - </w:t>
      </w:r>
      <w:r>
        <w:rPr>
          <w:i w:val="false"/>
          <w:iCs w:val="false"/>
          <w:sz w:val="28"/>
          <w:szCs w:val="28"/>
          <w:u w:val="single"/>
        </w:rPr>
        <w:t>27</w:t>
      </w:r>
      <w:r>
        <w:rPr>
          <w:i w:val="false"/>
          <w:iCs w:val="false"/>
          <w:sz w:val="28"/>
          <w:szCs w:val="28"/>
          <w:u w:val="single"/>
        </w:rPr>
        <w:t xml:space="preserve"> декабря 2025 и 07 января 2026.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общественной безопасности и пропускного режима администрации ВГО (Архипов В.Д.):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42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по согласованию с ОМВД России по ЗАТО Вилючинск организовать привлечение к охране общественного порядка ММПЛ и мест проведения народных гуляний и рождественских служб членов местной общественной организации «Народная дружина Вилючинского городского округа» (Золочевский В.В.)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срок - 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декабря 2025 и 07 января 2026.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Отделам культуры и молодежной политики администрации ВГО (Шатохина Ю.А.); образования, физической культуры и спорта администрации ВГО (Цыпкова В.В.):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0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провести с руководителями учреждений, участвующих в проведении праздничных мероприятий, инструктаж по обеспечению антитеррористической безопасности и порядку действий в случае возникновения чрезвычайных ситуаций, угрозы или совершения террористического акта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срок - до 27 декабря 2025;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Отделу культуры и молодежной политики администрации ВГО (Шатохина Ю.А.):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спланировать демонстрацию видеороликов антитеррористического содержания на видеоэкране МБУК ДК «Меридиан»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срок - с 29 декабря 2025 по 11 января 2026.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МКУ «Благоустройство Вилючинска» (Багаева И.А.)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обеспечить временное ограждение ММПЛ и установку средств ограничения движения автотранспорта на дорогах, ведущих к местам проведения народных гуляний и рождественских служб в соответствии с утвержденными схемами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  <w:u w:val="single"/>
        </w:rPr>
        <w:t xml:space="preserve">срок - </w:t>
      </w:r>
      <w:r>
        <w:rPr>
          <w:i w:val="false"/>
          <w:iCs w:val="false"/>
          <w:sz w:val="28"/>
          <w:szCs w:val="28"/>
          <w:u w:val="single"/>
        </w:rPr>
        <w:t>27</w:t>
      </w:r>
      <w:r>
        <w:rPr>
          <w:i w:val="false"/>
          <w:iCs w:val="false"/>
          <w:sz w:val="28"/>
          <w:szCs w:val="28"/>
          <w:u w:val="single"/>
        </w:rPr>
        <w:t xml:space="preserve"> декабря 2025 и 07 января 2026.</w:t>
      </w:r>
      <w:r>
        <w:rPr>
          <w:i w:val="false"/>
          <w:iCs w:val="false"/>
          <w:sz w:val="28"/>
          <w:szCs w:val="28"/>
        </w:rPr>
        <w:t xml:space="preserve"> </w:t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осуществить проверку антитеррористической защищенности в соответствии с паспортом безопасности ММПЛ «Площадь ДК «Меридиан», а также систем связи и электроснабжения, коммунальной инфраструктуры, определить резервные источники питания на случай ЧС 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  <w:u w:val="single"/>
        </w:rPr>
        <w:t xml:space="preserve">срок – до </w:t>
      </w:r>
      <w:r>
        <w:rPr>
          <w:i w:val="false"/>
          <w:iCs w:val="false"/>
          <w:sz w:val="28"/>
          <w:szCs w:val="28"/>
          <w:u w:val="single"/>
        </w:rPr>
        <w:t>27</w:t>
      </w:r>
      <w:r>
        <w:rPr>
          <w:i w:val="false"/>
          <w:iCs w:val="false"/>
          <w:sz w:val="28"/>
          <w:szCs w:val="28"/>
          <w:u w:val="single"/>
        </w:rPr>
        <w:t xml:space="preserve"> декабря 2025.</w:t>
      </w:r>
      <w:r>
        <w:rPr>
          <w:i w:val="false"/>
          <w:iCs w:val="false"/>
          <w:sz w:val="28"/>
          <w:szCs w:val="28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Отделу по внутренней и информационной политике администрации ВГО (Козлов Н.С.):</w:t>
      </w:r>
    </w:p>
    <w:p>
      <w:pPr>
        <w:pStyle w:val="Normal"/>
        <w:numPr>
          <w:ilvl w:val="2"/>
          <w:numId w:val="3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информационные мероприятия  в официальных госпабликах (СМИ), направленные на повышение бдительности граждан и разъяснение порядка действий в случае ЧС или террористического акта, угрозах телефонного мошенничества со стороны злоумышленников с целью склонения к противоправным действиям прямого воздействия (поджог, умышленная порча имущества и т.д.) на объекты, участвующие в проведении праздничных мероприятий.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>срок – до 30 декабря 2025.</w:t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1"/>
      </w:tblGrid>
      <w:tr>
        <w:trPr>
          <w:trHeight w:val="652" w:hRule="atLeast"/>
        </w:trPr>
        <w:tc>
          <w:tcPr>
            <w:tcW w:w="9571" w:type="dxa"/>
            <w:tcBorders>
              <w:top w:val="thinThickSmallGap" w:sz="12" w:space="0" w:color="000000"/>
              <w:bottom w:val="thinThickSmallGap" w:sz="12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708" w:start="0" w:end="0"/>
              <w:jc w:val="both"/>
              <w:rPr/>
            </w:pPr>
            <w:r>
              <w:rPr>
                <w:sz w:val="28"/>
                <w:szCs w:val="28"/>
              </w:rPr>
              <w:t>О реализации Комплексного плана противодействию идеологии терроризма в Российской Федерации на 2024-2028 годы на территории Вилючинского городского округа в соответствии с выполнением Перечня мероприятий по итогам 2025 года.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7"/>
        <w:ind w:hanging="0" w:start="780" w:end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Выступили:</w:t>
      </w:r>
    </w:p>
    <w:p>
      <w:pPr>
        <w:pStyle w:val="Style17"/>
        <w:numPr>
          <w:ilvl w:val="0"/>
          <w:numId w:val="2"/>
        </w:numPr>
        <w:tabs>
          <w:tab w:val="clear" w:pos="708"/>
          <w:tab w:val="left" w:pos="993" w:leader="none"/>
        </w:tabs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Цыпкова В.В</w:t>
      </w:r>
      <w:r>
        <w:rPr>
          <w:rFonts w:eastAsia="Calibri"/>
          <w:sz w:val="28"/>
          <w:szCs w:val="28"/>
        </w:rPr>
        <w:t xml:space="preserve">. – </w:t>
      </w:r>
      <w:r>
        <w:rPr>
          <w:rFonts w:eastAsia="Calibri"/>
          <w:sz w:val="28"/>
          <w:szCs w:val="28"/>
        </w:rPr>
        <w:t xml:space="preserve">ИО </w:t>
      </w:r>
      <w:r>
        <w:rPr>
          <w:rFonts w:eastAsia="Calibri"/>
          <w:sz w:val="28"/>
          <w:szCs w:val="28"/>
        </w:rPr>
        <w:t>начальник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управления социальной политики главы администрации ВГО;</w:t>
      </w:r>
    </w:p>
    <w:p>
      <w:pPr>
        <w:pStyle w:val="Style17"/>
        <w:numPr>
          <w:ilvl w:val="0"/>
          <w:numId w:val="2"/>
        </w:numPr>
        <w:tabs>
          <w:tab w:val="clear" w:pos="708"/>
          <w:tab w:val="left" w:pos="993" w:leader="none"/>
        </w:tabs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Архипов В.Д. – начальник отдела общественной безопасности и пропускного режима администрации ВГО.</w:t>
      </w:r>
    </w:p>
    <w:p>
      <w:pPr>
        <w:pStyle w:val="Style17"/>
        <w:ind w:firstLine="780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7"/>
        <w:ind w:hanging="0" w:start="780" w:end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Style17"/>
        <w:numPr>
          <w:ilvl w:val="1"/>
          <w:numId w:val="2"/>
        </w:numPr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докладчиков принять к сведению.</w:t>
      </w:r>
    </w:p>
    <w:p>
      <w:pPr>
        <w:pStyle w:val="Style17"/>
        <w:numPr>
          <w:ilvl w:val="1"/>
          <w:numId w:val="2"/>
        </w:numPr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Признать выполнение Перечня мероприятий Комплексного плана противодействию терроризма в Российской Федерации на 2024-2028 годы на территории Вилючинского городского округа (далее – Перечень мероприятий КП ВГО) за 2-е полугодие 2025 года и в целом за 2025 год удовлетворительным.</w:t>
      </w:r>
    </w:p>
    <w:p>
      <w:pPr>
        <w:pStyle w:val="Style17"/>
        <w:numPr>
          <w:ilvl w:val="1"/>
          <w:numId w:val="2"/>
        </w:numPr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Отделу общественной безопасности и пропускного режима администрации (Архипов В.Д.):</w:t>
      </w:r>
    </w:p>
    <w:p>
      <w:pPr>
        <w:pStyle w:val="Style17"/>
        <w:numPr>
          <w:ilvl w:val="2"/>
          <w:numId w:val="2"/>
        </w:numPr>
        <w:tabs>
          <w:tab w:val="clear" w:pos="708"/>
          <w:tab w:val="left" w:pos="993" w:leader="none"/>
        </w:tabs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данным, предоставленным ответственными исполнителем Комплексного плана Камчатского края и исполнителям Перечня мероприятий КП ВГО, осуществить общий свод Перечня мероприятий КП ВГО на 2026 год</w:t>
      </w:r>
    </w:p>
    <w:p>
      <w:pPr>
        <w:pStyle w:val="Style17"/>
        <w:ind w:hanging="0" w:start="0" w:end="0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срок – до 01.03.2026.</w:t>
      </w:r>
    </w:p>
    <w:p>
      <w:pPr>
        <w:pStyle w:val="Style17"/>
        <w:numPr>
          <w:ilvl w:val="1"/>
          <w:numId w:val="2"/>
        </w:numPr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Ответственным исполнителям Перечня мероприятий КП ВГО:</w:t>
      </w:r>
    </w:p>
    <w:p>
      <w:pPr>
        <w:pStyle w:val="Style17"/>
        <w:numPr>
          <w:ilvl w:val="2"/>
          <w:numId w:val="2"/>
        </w:numPr>
        <w:tabs>
          <w:tab w:val="clear" w:pos="708"/>
          <w:tab w:val="left" w:pos="993" w:leader="none"/>
        </w:tabs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продолжить выполнение Перечня мероприятий КП ВГО в 2026 году</w:t>
      </w:r>
      <w:r>
        <w:rPr>
          <w:rFonts w:eastAsia="Calibri"/>
          <w:sz w:val="28"/>
          <w:szCs w:val="28"/>
          <w:lang w:bidi="ru-RU"/>
        </w:rPr>
        <w:t>.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Style17"/>
        <w:ind w:hanging="0" w:start="0" w:end="0"/>
        <w:jc w:val="both"/>
        <w:rPr/>
      </w:pPr>
      <w:r>
        <w:rPr>
          <w:rFonts w:eastAsia="Calibri"/>
          <w:sz w:val="28"/>
          <w:szCs w:val="28"/>
          <w:u w:val="single"/>
        </w:rPr>
        <w:t>срок – до 31.12.2026.</w:t>
      </w:r>
    </w:p>
    <w:p>
      <w:pPr>
        <w:pStyle w:val="Style17"/>
        <w:numPr>
          <w:ilvl w:val="2"/>
          <w:numId w:val="2"/>
        </w:numPr>
        <w:tabs>
          <w:tab w:val="clear" w:pos="708"/>
          <w:tab w:val="left" w:pos="993" w:leader="none"/>
        </w:tabs>
        <w:ind w:firstLine="709" w:start="0" w:end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своевременно предоставлять отчеты по исполнению Перечня мероприятий КП ВГО в исполнительные органы Камчатского края в установленных сферах деятельности с уведомлением аппарата АТК ВГО.</w:t>
      </w:r>
    </w:p>
    <w:p>
      <w:pPr>
        <w:pStyle w:val="Style17"/>
        <w:ind w:hanging="0" w:start="0" w:end="0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срок – до 31.12.2026.</w:t>
      </w:r>
    </w:p>
    <w:p>
      <w:pPr>
        <w:pStyle w:val="Normal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</w:r>
    </w:p>
    <w:tbl>
      <w:tblPr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1"/>
      </w:tblGrid>
      <w:tr>
        <w:trPr>
          <w:trHeight w:val="729" w:hRule="atLeast"/>
        </w:trPr>
        <w:tc>
          <w:tcPr>
            <w:tcW w:w="9571" w:type="dxa"/>
            <w:tcBorders>
              <w:top w:val="thinThickSmallGap" w:sz="12" w:space="0" w:color="111111"/>
              <w:bottom w:val="thinThickSmallGap" w:sz="12" w:space="0" w:color="111111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708" w:start="0" w:end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антитеррористической комиссии Вилючинского городского округа на 2026 год. Организация исполнения решений и рекомендаций НАК, АТК Камчатского края и АТК ВГО в течении 2025 года.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7"/>
        <w:spacing w:before="0" w:after="200"/>
        <w:ind w:firstLine="426" w:start="720" w:end="0"/>
        <w:contextualSpacing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Выступили:</w:t>
      </w:r>
    </w:p>
    <w:p>
      <w:pPr>
        <w:pStyle w:val="Style17"/>
        <w:numPr>
          <w:ilvl w:val="0"/>
          <w:numId w:val="6"/>
        </w:numPr>
        <w:spacing w:before="0" w:after="200"/>
        <w:ind w:firstLine="709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Архипов В.Д. – начальник отдела общественной безопасности и пропускного режима администрации ВГО.</w:t>
      </w:r>
    </w:p>
    <w:p>
      <w:pPr>
        <w:pStyle w:val="Style17"/>
        <w:spacing w:before="0" w:after="200"/>
        <w:ind w:hanging="0" w:start="1146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200"/>
        <w:ind w:firstLine="426" w:start="720" w:end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Style17"/>
        <w:numPr>
          <w:ilvl w:val="1"/>
          <w:numId w:val="7"/>
        </w:numPr>
        <w:spacing w:before="0" w:after="200"/>
        <w:ind w:firstLine="709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АТК ВГО за 2025 год удовлетворительной. Утвердить планы:  работы антитеррористической комиссии Вилючинского городского округа на 2026 год.</w:t>
      </w:r>
    </w:p>
    <w:p>
      <w:pPr>
        <w:pStyle w:val="Style17"/>
        <w:numPr>
          <w:ilvl w:val="1"/>
          <w:numId w:val="7"/>
        </w:numPr>
        <w:spacing w:before="0" w:after="200"/>
        <w:ind w:firstLine="709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Аппарату АТК Вилючинского городского округа (Архипов В.Д.):</w:t>
      </w:r>
    </w:p>
    <w:p>
      <w:pPr>
        <w:pStyle w:val="Style17"/>
        <w:numPr>
          <w:ilvl w:val="2"/>
          <w:numId w:val="7"/>
        </w:numPr>
        <w:spacing w:before="0" w:after="200"/>
        <w:ind w:firstLine="709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копии утвержденного плана работы в аппарат АТК Камчатского края, членам АТК Вилючинского городского округа, а также разместить на официальном сайте органов местного самоуправления Вилючинского городского округа в информационно-телекомуникационной сети «Интернет»</w:t>
      </w:r>
    </w:p>
    <w:p>
      <w:pPr>
        <w:pStyle w:val="Style17"/>
        <w:spacing w:before="0" w:after="200"/>
        <w:ind w:hanging="0" w:start="0" w:end="0"/>
        <w:contextualSpacing/>
        <w:jc w:val="both"/>
        <w:rPr/>
      </w:pPr>
      <w:r>
        <w:rPr>
          <w:sz w:val="28"/>
          <w:szCs w:val="28"/>
          <w:u w:val="single"/>
        </w:rPr>
        <w:t>срок - до 30 января 2026;</w:t>
      </w:r>
    </w:p>
    <w:p>
      <w:pPr>
        <w:pStyle w:val="Style17"/>
        <w:numPr>
          <w:ilvl w:val="2"/>
          <w:numId w:val="7"/>
        </w:numPr>
        <w:spacing w:before="0" w:after="200"/>
        <w:ind w:firstLine="709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исполнения поручений, содержащихся в решениях АТК Камчатского края и АТК Вилючинского городского округа. Принимать доклады о выполнении решений АТК Вилючинского городского округа исполнителями в письменной или устной форме в установленные сроки</w:t>
      </w:r>
    </w:p>
    <w:p>
      <w:pPr>
        <w:pStyle w:val="Style17"/>
        <w:spacing w:before="0" w:after="200"/>
        <w:ind w:hanging="0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срок - постоянно;</w:t>
      </w:r>
    </w:p>
    <w:p>
      <w:pPr>
        <w:pStyle w:val="Style17"/>
        <w:numPr>
          <w:ilvl w:val="2"/>
          <w:numId w:val="7"/>
        </w:numPr>
        <w:spacing w:before="0" w:after="200"/>
        <w:ind w:firstLine="709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отчеты по работе АТК ВГО, исполнению решений и рекомендаций НАК, АТК Камчатского края в аппарат АТК Камчатского края в установленные сроки.</w:t>
      </w:r>
    </w:p>
    <w:p>
      <w:pPr>
        <w:pStyle w:val="Style17"/>
        <w:spacing w:before="0" w:after="200"/>
        <w:ind w:hanging="0" w:start="0" w:end="0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срок - постоянно.  </w:t>
      </w:r>
    </w:p>
    <w:p>
      <w:pPr>
        <w:pStyle w:val="Style17"/>
        <w:spacing w:before="0" w:after="200"/>
        <w:ind w:hanging="0" w:start="0" w:end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Председатель  антитеррористической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Вилючинского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  <w:tab/>
        <w:tab/>
        <w:tab/>
        <w:t xml:space="preserve">                                                     </w:t>
      </w:r>
      <w:r>
        <w:rPr>
          <w:b/>
          <w:i w:val="false"/>
          <w:iCs w:val="false"/>
          <w:sz w:val="28"/>
          <w:szCs w:val="28"/>
        </w:rPr>
        <w:t>О.С. Бондаренко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183" w:right="567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344" w:hanging="564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114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50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86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86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222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222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258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2940" w:hanging="21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852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852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212" w:hanging="720"/>
      </w:pPr>
      <w:rPr>
        <w:sz w:val="28"/>
        <w:szCs w:val="28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572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572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932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932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2292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2652" w:hanging="21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2"/>
      <w:numFmt w:val="decimal"/>
      <w:lvlText w:val="%1.%2."/>
      <w:lvlJc w:val="start"/>
      <w:pPr>
        <w:tabs>
          <w:tab w:val="num" w:pos="0"/>
        </w:tabs>
        <w:ind w:start="1428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42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88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78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148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508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508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868" w:hanging="21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213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2571" w:hanging="142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3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114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996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342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420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53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612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726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8400" w:hanging="21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sz w:val="28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sz w:val="28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sz w:val="28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sz w:val="28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4z0">
    <w:name w:val="WW8Num24z0"/>
    <w:qFormat/>
    <w:rPr>
      <w:color w:val="000000"/>
      <w:sz w:val="28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sz w:val="28"/>
      <w:szCs w:val="28"/>
    </w:rPr>
  </w:style>
  <w:style w:type="character" w:styleId="WW8Num34z0">
    <w:name w:val="WW8Num34z0"/>
    <w:qFormat/>
    <w:rPr>
      <w:sz w:val="28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sz w:val="28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sz w:val="28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color w:val="000000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/>
  </w:style>
  <w:style w:type="character" w:styleId="Style12">
    <w:name w:val="Основной шрифт абзаца"/>
    <w:qFormat/>
    <w:rPr/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Абзац списка"/>
    <w:basedOn w:val="Normal"/>
    <w:qFormat/>
    <w:pPr>
      <w:spacing w:before="0" w:after="0"/>
      <w:ind w:hanging="0" w:start="720" w:end="0"/>
      <w:contextualSpacing/>
    </w:pPr>
    <w:rPr>
      <w:sz w:val="20"/>
      <w:szCs w:val="20"/>
    </w:rPr>
  </w:style>
  <w:style w:type="paragraph" w:styleId="BodyTextIndent">
    <w:name w:val="Body Text Indent"/>
    <w:basedOn w:val="Normal"/>
    <w:pPr>
      <w:ind w:firstLine="900" w:start="0" w:end="0"/>
    </w:pPr>
    <w:rPr>
      <w:sz w:val="28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ОПБ_x005F_x0000_</Template>
  <TotalTime>1461</TotalTime>
  <Application>LibreOffice/7.6.7.2$Linux_X86_64 LibreOffice_project/60$Build-2</Application>
  <AppVersion>15.0000</AppVersion>
  <Pages>5</Pages>
  <Words>1149</Words>
  <Characters>7725</Characters>
  <CharactersWithSpaces>9142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2020-03-06T14:29:00Z</dcterms:created>
  <dc:creator>2</dc:creator>
  <dc:description/>
  <dc:language>ru-RU</dc:language>
  <cp:lastModifiedBy/>
  <cp:lastPrinted>2025-12-24T17:11:39Z</cp:lastPrinted>
  <dcterms:modified xsi:type="dcterms:W3CDTF">2025-12-24T17:11:03Z</dcterms:modified>
  <cp:revision>72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