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13" w:rsidRDefault="00471A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A13" w:rsidRDefault="00471A13">
      <w:pPr>
        <w:pStyle w:val="ConsPlusNormal"/>
        <w:jc w:val="both"/>
        <w:outlineLvl w:val="0"/>
      </w:pPr>
    </w:p>
    <w:p w:rsidR="00471A13" w:rsidRDefault="00471A13">
      <w:pPr>
        <w:pStyle w:val="ConsPlusNormal"/>
        <w:outlineLvl w:val="0"/>
      </w:pPr>
      <w:r>
        <w:t>Зарегистрировано в Минюсте РФ 3 августа 2011 г. N 21533</w:t>
      </w:r>
    </w:p>
    <w:p w:rsidR="00471A13" w:rsidRDefault="00471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A13" w:rsidRDefault="00471A13">
      <w:pPr>
        <w:pStyle w:val="ConsPlusNormal"/>
      </w:pPr>
    </w:p>
    <w:p w:rsidR="00471A13" w:rsidRDefault="00471A13">
      <w:pPr>
        <w:pStyle w:val="ConsPlusTitle"/>
        <w:jc w:val="center"/>
      </w:pPr>
      <w:r>
        <w:t>ФЕДЕРАЛЬНОЕ АГЕНТСТВО ЛЕСНОГО ХОЗЯЙСТВА</w:t>
      </w:r>
    </w:p>
    <w:p w:rsidR="00471A13" w:rsidRDefault="00471A13">
      <w:pPr>
        <w:pStyle w:val="ConsPlusTitle"/>
        <w:jc w:val="center"/>
      </w:pPr>
    </w:p>
    <w:p w:rsidR="00471A13" w:rsidRDefault="00471A13">
      <w:pPr>
        <w:pStyle w:val="ConsPlusTitle"/>
        <w:jc w:val="center"/>
      </w:pPr>
      <w:r>
        <w:t>ПРИКАЗ</w:t>
      </w:r>
    </w:p>
    <w:p w:rsidR="00471A13" w:rsidRDefault="00471A13">
      <w:pPr>
        <w:pStyle w:val="ConsPlusTitle"/>
        <w:jc w:val="center"/>
      </w:pPr>
      <w:r>
        <w:t>от 10 июня 2011 г. N 223</w:t>
      </w:r>
    </w:p>
    <w:p w:rsidR="00471A13" w:rsidRDefault="00471A13">
      <w:pPr>
        <w:pStyle w:val="ConsPlusTitle"/>
        <w:jc w:val="center"/>
      </w:pPr>
    </w:p>
    <w:p w:rsidR="00471A13" w:rsidRDefault="00471A13">
      <w:pPr>
        <w:pStyle w:val="ConsPlusTitle"/>
        <w:jc w:val="center"/>
      </w:pPr>
      <w:r>
        <w:t>ОБ УТВЕРЖДЕНИИ ПРАВИЛ</w:t>
      </w:r>
    </w:p>
    <w:p w:rsidR="00471A13" w:rsidRDefault="00471A13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471A13" w:rsidRDefault="00471A13">
      <w:pPr>
        <w:pStyle w:val="ConsPlusTitle"/>
        <w:jc w:val="center"/>
      </w:pPr>
      <w:r>
        <w:t>ЭКСПЛУАТАЦИИ ЛИНЕЙНЫХ ОБЪЕКТОВ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 N 52 (ч. I), ст. 6236; 2009, N 11, ст. 1261; N 29, ст. 3601;</w:t>
      </w:r>
      <w:proofErr w:type="gramEnd"/>
      <w:r>
        <w:t xml:space="preserve"> N 30, ст. 3735; N 52 (ч. I), ст. 6441; 2010, N 30, ст. 3998; "Российская газета", 2010, N 297) приказываю: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jc w:val="right"/>
      </w:pPr>
      <w:r>
        <w:t>Руководитель</w:t>
      </w:r>
    </w:p>
    <w:p w:rsidR="00471A13" w:rsidRDefault="00471A13">
      <w:pPr>
        <w:pStyle w:val="ConsPlusNormal"/>
        <w:jc w:val="right"/>
      </w:pPr>
      <w:r>
        <w:t>В.Н.МАСЛЯКОВ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jc w:val="right"/>
        <w:outlineLvl w:val="0"/>
      </w:pPr>
      <w:r>
        <w:t>Утверждены</w:t>
      </w:r>
    </w:p>
    <w:p w:rsidR="00471A13" w:rsidRDefault="00471A13">
      <w:pPr>
        <w:pStyle w:val="ConsPlusNormal"/>
        <w:jc w:val="right"/>
      </w:pPr>
      <w:r>
        <w:t>Приказом Рослесхоза</w:t>
      </w:r>
    </w:p>
    <w:p w:rsidR="00471A13" w:rsidRDefault="00471A13">
      <w:pPr>
        <w:pStyle w:val="ConsPlusNormal"/>
        <w:jc w:val="right"/>
      </w:pPr>
      <w:r>
        <w:t>от 10.06.2011 N 223</w:t>
      </w:r>
    </w:p>
    <w:p w:rsidR="00471A13" w:rsidRDefault="00471A13">
      <w:pPr>
        <w:pStyle w:val="ConsPlusNormal"/>
        <w:jc w:val="center"/>
      </w:pPr>
    </w:p>
    <w:p w:rsidR="00471A13" w:rsidRDefault="00471A13">
      <w:pPr>
        <w:pStyle w:val="ConsPlusTitle"/>
        <w:jc w:val="center"/>
      </w:pPr>
      <w:bookmarkStart w:id="0" w:name="P27"/>
      <w:bookmarkEnd w:id="0"/>
      <w:r>
        <w:t>ПРАВИЛА</w:t>
      </w:r>
    </w:p>
    <w:p w:rsidR="00471A13" w:rsidRDefault="00471A13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471A13" w:rsidRDefault="00471A13">
      <w:pPr>
        <w:pStyle w:val="ConsPlusTitle"/>
        <w:jc w:val="center"/>
      </w:pPr>
      <w:r>
        <w:t>ЭКСПЛУАТАЦИИ ЛИНЕЙНЫХ ОБЪЕКТОВ</w:t>
      </w:r>
    </w:p>
    <w:p w:rsidR="00471A13" w:rsidRDefault="00471A13">
      <w:pPr>
        <w:pStyle w:val="ConsPlusNormal"/>
        <w:jc w:val="center"/>
      </w:pPr>
    </w:p>
    <w:p w:rsidR="00471A13" w:rsidRDefault="00471A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7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3599; N 30 (ч. II), ст. 3616;</w:t>
      </w:r>
      <w:proofErr w:type="gramEnd"/>
      <w:r>
        <w:t xml:space="preserve"> 52 (ч. I), ст. 6236; 2009, N 11, ст. 1261; N 29, ст. 3601; N 30, ст. 3735; N 52 (ч. I), ст. 6441; 2010, N 30, ст. 3998; "Российская газета", 2010, N 297) (далее - Лесной кодекс Российской Федерации).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2. Для целей настоящих Правил под линейными объектами понимаются линии электропередачи, линии связи, дороги, трубопроводы и другие линейные объекты, а также сооружения, являющиеся неотъемлемой технологической частью указанных объектов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4 части 1 статьи 21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Лесного кодекса </w:t>
      </w:r>
      <w:r>
        <w:lastRenderedPageBreak/>
        <w:t>Российской Федерации для строительства линейных объектов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1" w:history="1">
        <w:r>
          <w:rPr>
            <w:color w:val="0000FF"/>
          </w:rPr>
          <w:t>статьей 9</w:t>
        </w:r>
      </w:hyperlink>
      <w:r>
        <w:t xml:space="preserve"> Лесного кодекса Российской Федерации,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 xml:space="preserve">Использование лесов для строительства, реконструкции, эксплуатации линейных объектов осуществляется в соответствии со </w:t>
      </w:r>
      <w:hyperlink r:id="rId13" w:history="1">
        <w:r>
          <w:rPr>
            <w:color w:val="0000FF"/>
          </w:rPr>
          <w:t>статьей 21</w:t>
        </w:r>
      </w:hyperlink>
      <w:r>
        <w:t xml:space="preserve"> Лесного кодекса Российской Федерации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1 статьи 45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>5. В целях строительства линейных объектов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7. На лесных участках, предоставленных в пользование в целях строительства, реконструкции линейных объектов использование лесов осуществляется в соответствии с проектом освоения лесов.</w:t>
      </w:r>
    </w:p>
    <w:p w:rsidR="00471A13" w:rsidRDefault="00471A13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8. </w:t>
      </w:r>
      <w:proofErr w:type="gramStart"/>
      <w:r>
        <w:t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  <w:proofErr w:type="gramEnd"/>
    </w:p>
    <w:p w:rsidR="00471A13" w:rsidRDefault="00471A13">
      <w:pPr>
        <w:pStyle w:val="ConsPlusNormal"/>
        <w:spacing w:before="220"/>
        <w:ind w:firstLine="540"/>
        <w:jc w:val="both"/>
      </w:pPr>
      <w:r>
        <w:t>а) прокладка и содержание в безлесном состоянии просек вдоль и по периметру линейных объектов.</w:t>
      </w:r>
    </w:p>
    <w:p w:rsidR="00471A13" w:rsidRDefault="00471A13">
      <w:pPr>
        <w:pStyle w:val="ConsPlusNormal"/>
        <w:spacing w:before="220"/>
        <w:ind w:firstLine="540"/>
        <w:jc w:val="both"/>
      </w:pPr>
      <w:proofErr w:type="gramStart"/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15" w:history="1">
        <w:r>
          <w:rPr>
            <w:color w:val="0000FF"/>
          </w:rPr>
          <w:t>пунктом "а"</w:t>
        </w:r>
      </w:hyperlink>
      <w: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N 160 (Собрание законодательства Российской Федерации, 2009, N 10, ст</w:t>
      </w:r>
      <w:proofErr w:type="gramEnd"/>
      <w:r>
        <w:t>. 1220);</w:t>
      </w:r>
    </w:p>
    <w:p w:rsidR="00471A13" w:rsidRDefault="00471A1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  <w:proofErr w:type="gramEnd"/>
    </w:p>
    <w:p w:rsidR="00471A13" w:rsidRDefault="00471A13">
      <w:pPr>
        <w:pStyle w:val="ConsPlusNormal"/>
        <w:spacing w:before="220"/>
        <w:ind w:firstLine="540"/>
        <w:jc w:val="both"/>
      </w:pPr>
      <w:r>
        <w:t>в) вырубка сильноослабленных, усыхающих, сухостойных, ветровальных и буреломных деревьев, угрожающих падением на линейные объекты.</w:t>
      </w:r>
    </w:p>
    <w:p w:rsidR="00471A13" w:rsidRDefault="00471A13">
      <w:pPr>
        <w:pStyle w:val="ConsPlusNormal"/>
        <w:spacing w:before="220"/>
        <w:ind w:firstLine="540"/>
        <w:jc w:val="both"/>
      </w:pPr>
      <w:bookmarkStart w:id="2" w:name="P57"/>
      <w:bookmarkEnd w:id="2"/>
      <w: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 при проведении рубок лесных насаждений, указанных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и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 Правил, проект освоения лесов не составляется.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проведения указанных в </w:t>
      </w:r>
      <w:hyperlink w:anchor="P52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57" w:history="1">
        <w:r>
          <w:rPr>
            <w:color w:val="0000FF"/>
          </w:rPr>
          <w:t>9</w:t>
        </w:r>
      </w:hyperlink>
      <w:r>
        <w:t xml:space="preserve"> настоящих Правил выборочных рубок и сплошных рубок деревьев, кустарников, лиан юридические и физические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1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не позднее 15 дней до завершения рубки</w:t>
      </w:r>
      <w:proofErr w:type="gramEnd"/>
      <w:r>
        <w:t>,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- для физического лица;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б) объем и породный состав вырубаемой древесины;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в) сведения о местонахождении лесного участка в соответствии с материалами лесоустройства (выдел, квартал) (для объектов электросетевого хозяйства также указывается диспетчерское наименование объекта и проектный номинальный класс напряжения);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г) срок завершения рубки лесных насаждений.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допускается.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>Такие рубки осуществляются в порядке, установленном настоящими Правилами.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В защитных лесах предусмотренные настоящим пунктом Правил выборочные рубки и </w:t>
      </w:r>
      <w:r>
        <w:lastRenderedPageBreak/>
        <w:t>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 &lt;*&gt;.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Часть 5.1 статьи 21</w:t>
        </w:r>
      </w:hyperlink>
      <w:r>
        <w:t xml:space="preserve"> Лесного кодекса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  <w:r>
        <w:t>12. В зоне притундровых лесов и редкостойной тайги рубка лесных насаждений, трелевка должна производиться с минимальным нарушением растительного и почвенного покрова.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13. Если иное не установлено законодательством, в охранных зонах и на просеках линий электропередачи и линий связи, других линейных объектов допускается рубка деревьев, кустарников, лиан, их уничтожение, в том числе химическим или комбинированным способом.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14. 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 на склонах.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15. При использовании лесов в целях строительства, реконструкции и эксплуатации линейных объектов не допускается: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проезд транспортных средств и иных механизмов по произвольным, неустановленным маршрутам за пределами предоставленного лесного участка и соответствующей охранной зоны.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16. Лица, осуществляющие использование лесов в целях строительства, реконструкции и эксплуатации линейных объектов, обеспечивают: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последствий, возникших по вине указанных лиц.</w:t>
      </w:r>
    </w:p>
    <w:p w:rsidR="00471A13" w:rsidRDefault="00471A13">
      <w:pPr>
        <w:pStyle w:val="ConsPlusNormal"/>
        <w:spacing w:before="220"/>
        <w:ind w:firstLine="540"/>
        <w:jc w:val="both"/>
      </w:pPr>
      <w:r>
        <w:t>17. Земли, нарушенные или загрязненные при использовании лесов для строительства, реконструкции и эксплуатации линейных объектов, подлежат рекультивации в соответствии с требованиями законодательства Российской Федерации.</w:t>
      </w: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ind w:firstLine="540"/>
        <w:jc w:val="both"/>
      </w:pPr>
    </w:p>
    <w:p w:rsidR="00471A13" w:rsidRDefault="00471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65" w:rsidRDefault="00947165">
      <w:bookmarkStart w:id="3" w:name="_GoBack"/>
      <w:bookmarkEnd w:id="3"/>
    </w:p>
    <w:sectPr w:rsidR="00947165" w:rsidSect="00CF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13"/>
    <w:rsid w:val="00471A13"/>
    <w:rsid w:val="009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020A062B9A0BB6557E042D742C89B8CF52C39CD8F86DCF71AECCE4B7ABFA3D8E0BD778BA6E1C672m1D" TargetMode="External"/><Relationship Id="rId13" Type="http://schemas.openxmlformats.org/officeDocument/2006/relationships/hyperlink" Target="consultantplus://offline/ref=014020A062B9A0BB6557E042D742C89B8CF52C39CD8F86DCF71AECCE4B7ABFA3D8E0BD778BA6E8C472mCD" TargetMode="External"/><Relationship Id="rId18" Type="http://schemas.openxmlformats.org/officeDocument/2006/relationships/hyperlink" Target="consultantplus://offline/ref=014020A062B9A0BB6557E042D742C89B8CF52C39CD8F86DCF71AECCE4B7ABFA3D8E0BD778BA6EDC372m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4020A062B9A0BB6557E042D742C89B8CF52C39CD8F86DCF71AECCE4B7ABFA3D8E0BD7278m9D" TargetMode="External"/><Relationship Id="rId7" Type="http://schemas.openxmlformats.org/officeDocument/2006/relationships/hyperlink" Target="consultantplus://offline/ref=014020A062B9A0BB6557E042D742C89B8CF52C39CD8F86DCF71AECCE4B7ABFA3D8E0BD778BA6E1C072m7D" TargetMode="External"/><Relationship Id="rId12" Type="http://schemas.openxmlformats.org/officeDocument/2006/relationships/hyperlink" Target="consultantplus://offline/ref=014020A062B9A0BB6557E042D742C89B8CF52C39CD8F86DCF71AECCE4B7ABFA3D8E0BD778BA6E1C072m5D" TargetMode="External"/><Relationship Id="rId17" Type="http://schemas.openxmlformats.org/officeDocument/2006/relationships/hyperlink" Target="consultantplus://offline/ref=014020A062B9A0BB6557E042D742C89B8CF52C39CD8F86DCF71AECCE4B7ABFA3D8E0BD778BA6ECCD72m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4020A062B9A0BB6557E042D742C89B8CF52C39CD8F86DCF71AECCE4B7ABFA3D8E0BD778BA6E1C072m4D" TargetMode="External"/><Relationship Id="rId20" Type="http://schemas.openxmlformats.org/officeDocument/2006/relationships/hyperlink" Target="consultantplus://offline/ref=014020A062B9A0BB6557E042D742C89B8CF52C39CD8F86DCF71AECCE4B7ABFA3D8E0BD778BA6E1C672m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020A062B9A0BB6557E042D742C89B8CF52C39CD8F86DCF71AECCE4B7ABFA3D8E0BD778BA6E1C072m7D" TargetMode="External"/><Relationship Id="rId11" Type="http://schemas.openxmlformats.org/officeDocument/2006/relationships/hyperlink" Target="consultantplus://offline/ref=014020A062B9A0BB6557E042D742C89B8CF52C39CD8F86DCF71AECCE4B7ABFA3D8E0BD778BA6E9C072m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4020A062B9A0BB6557E042D742C89B8FFD2D3BCE8886DCF71AECCE4B7ABFA3D8E0BD778BA6E9CD72m0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4020A062B9A0BB6557E042D742C89B8CF52C39CD8F86DCF71AECCE4B7ABFA3D8E0BD778BA6E1C772mCD" TargetMode="External"/><Relationship Id="rId19" Type="http://schemas.openxmlformats.org/officeDocument/2006/relationships/hyperlink" Target="consultantplus://offline/ref=014020A062B9A0BB6557E042D742C89B8CF52C39CD8F86DCF71AECCE4B7ABFA3D8E0BD778BA6ECC272m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020A062B9A0BB6557E042D742C89B8CF52C39CD8F86DCF71AECCE4B7ABFA3D8E0BD778BA6E9C072m1D" TargetMode="External"/><Relationship Id="rId14" Type="http://schemas.openxmlformats.org/officeDocument/2006/relationships/hyperlink" Target="consultantplus://offline/ref=014020A062B9A0BB6557E042D742C89B8CF52C39CD8F86DCF71AECCE4B7ABFA3D8E0BD778BA6E1C772m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2017-11-07T03:38:00Z</dcterms:created>
  <dcterms:modified xsi:type="dcterms:W3CDTF">2017-11-07T03:39:00Z</dcterms:modified>
</cp:coreProperties>
</file>