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57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Отчет по исполнению Плана</w:t>
      </w:r>
    </w:p>
    <w:p>
      <w:pPr>
        <w:pStyle w:val="Normal"/>
        <w:spacing w:lineRule="auto" w:line="240" w:before="0" w:after="57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противодействия коррупции в Вилючинском городском округе </w:t>
      </w:r>
    </w:p>
    <w:p>
      <w:pPr>
        <w:pStyle w:val="Normal"/>
        <w:spacing w:lineRule="auto" w:line="240" w:before="0" w:after="57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2021 – 2024 годы</w:t>
      </w:r>
    </w:p>
    <w:p>
      <w:pPr>
        <w:pStyle w:val="Normal"/>
        <w:spacing w:lineRule="auto" w:line="240" w:before="0" w:after="57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 2024 год</w:t>
      </w:r>
    </w:p>
    <w:p>
      <w:pPr>
        <w:pStyle w:val="Normal"/>
        <w:spacing w:lineRule="auto" w:line="240" w:before="0" w:after="5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</w:t>
      </w:r>
      <w:r>
        <w:rPr>
          <w:rFonts w:cs="Times New Roman" w:ascii="Times New Roman" w:hAnsi="Times New Roman"/>
          <w:sz w:val="28"/>
          <w:szCs w:val="28"/>
        </w:rPr>
        <w:t xml:space="preserve"> Отраслевые (функциональные) органы администрации Вилючинского городского округа, осуществляющие функции и полномочия учредителя муниципальных учреждений Вилючинского городского округа, осуществляющие организационно-методическое руководство, координацию деятельности муниципальных унитарных предприятий Вилючинского городского округа принимают меры по предупреждению коррупции в подведомственных муниципальных учреждениях (предприятиях) муниципальных образований: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а)</w:t>
      </w:r>
      <w:r>
        <w:rPr>
          <w:rFonts w:cs="Times New Roman" w:ascii="Times New Roman" w:hAnsi="Times New Roman"/>
          <w:sz w:val="28"/>
          <w:szCs w:val="28"/>
        </w:rPr>
        <w:t xml:space="preserve"> с учетом специфики деятельности в подведомственных организациях разработаны планы по противодействию коррупции, отделами администрации Вилючинского городского округа, осуществляется контроль по предупреждению коррупции.</w:t>
      </w:r>
      <w:r>
        <w:rPr>
          <w:rFonts w:cs="Times New Roman" w:ascii="Times New Roman" w:hAnsi="Times New Roman"/>
          <w:sz w:val="28"/>
          <w:szCs w:val="28"/>
          <w:shd w:fill="DDE8CB" w:val="clear"/>
        </w:rPr>
        <w:t xml:space="preserve"> 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б)</w:t>
      </w:r>
      <w:r>
        <w:rPr>
          <w:rFonts w:cs="Times New Roman" w:ascii="Times New Roman" w:hAnsi="Times New Roman"/>
          <w:sz w:val="28"/>
          <w:szCs w:val="28"/>
        </w:rPr>
        <w:t xml:space="preserve"> ежегодно проводятся совещания с руководителями (заместителями руководителей) и работниками подведомственных организаций по вопросам организации работы по противодействию коррупции. 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2024 году была проведена встреча-совещание руководителей учреждений, подведомственных структурным подразделениям администрации Вилючинского городского округа с представителями отдела по профилактике коррупционных и иных правонарушений Администрации Губернатора Камчатского края, доцентом кафедры экономических и социально-гуманитарных наук Петропавловск-Камчатского филиала ФГБОУ ВО «Российская академия народного хозяйства и государственной службы при Президенте Российской Федерации», представителем прокуратуры ЗАТО</w:t>
        <w:br/>
        <w:t>г. Вилючинск.</w:t>
      </w:r>
    </w:p>
    <w:p>
      <w:pPr>
        <w:pStyle w:val="ConsPlusNormal"/>
        <w:spacing w:lineRule="auto" w:line="240" w:before="0" w:after="57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 встрече были подняты вопросы такие как а</w:t>
      </w:r>
      <w:r>
        <w:rPr>
          <w:rFonts w:cs="Times New Roman" w:ascii="Nimbus Roman" w:hAnsi="Nimbus Roman"/>
          <w:color w:val="000000"/>
          <w:sz w:val="28"/>
          <w:szCs w:val="28"/>
        </w:rPr>
        <w:t>нализ ситуации,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Nimbus Roman" w:hAnsi="Nimbus Roman"/>
          <w:color w:val="000000"/>
          <w:sz w:val="28"/>
          <w:szCs w:val="28"/>
        </w:rPr>
        <w:t>попадающей под понятие «конфликт интересов»; проведение комиссии по урегулированию конфликта интересов; применение мер дисциплинарного воздействия, включая увольнение, к участникам конфликта интересов; создание комиссий по противодействию коррупции и урегулированию конфликта интересов; создание положения о конфликте интересов, положения о подарках, иных локальных актов, регламентирующих антикоррупционную политику в организации; этика служебного поведения. Также была представлена презентация по заполнению сведений о доходах, расходах, об имуществе и обязательствах имущественного характера.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в)</w:t>
      </w:r>
      <w:r>
        <w:rPr>
          <w:rFonts w:cs="Times New Roman" w:ascii="Times New Roman" w:hAnsi="Times New Roman"/>
          <w:sz w:val="28"/>
          <w:szCs w:val="28"/>
        </w:rPr>
        <w:t xml:space="preserve"> гражданами, претендующими на замещение должностей руководителей муниципальных учреждений, предоставляются справки о доходах</w:t>
      </w:r>
      <w:r>
        <w:rPr>
          <w:rFonts w:ascii="Times New Roman" w:hAnsi="Times New Roman"/>
          <w:sz w:val="28"/>
          <w:szCs w:val="28"/>
        </w:rPr>
        <w:t>, расходах, об имуществе и обязательствах имущественного характера на гражданина и членов его семьи. У</w:t>
      </w:r>
      <w:r>
        <w:rPr>
          <w:rFonts w:cs="Times New Roman" w:ascii="Times New Roman" w:hAnsi="Times New Roman"/>
          <w:sz w:val="28"/>
          <w:szCs w:val="28"/>
        </w:rPr>
        <w:t xml:space="preserve">казанные сведения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cs="Times New Roman" w:ascii="Times New Roman" w:hAnsi="Times New Roman"/>
          <w:sz w:val="28"/>
          <w:szCs w:val="28"/>
        </w:rPr>
        <w:t>уководителей муниципальных учреждений, размещены на официальном сайте администрации Вилючинского городского округа в сети «Интернет», также проведена проверка достоверности и полноты таких сведений в соответствии с законодательством Российской Федерации и муниципальными правовыми актами.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Ответственными сотрудниками отраслевых (функциональных) органов администрации Вилючинского городского округа, осуществляющих функции и полномочия учредителей муниципальных учреждений Вилючинского городского округа осуществляется проверка достоверности и полноты сведений о доходах руководителей подведомственных учреждений, обеспечено предоставление сведений в период с января по март года, следующего за отчетным. Сведения о доходах, расходах, имуществе и обязательс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т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вах имущественного характера за 2023 представлены руководителями учреждений  до 30.04.2024 г.;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г)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методические рекомендации Министерства труда и социальной защиты Российской Федерации по разработке и принятию организациями мер по предупреждению и противодействию коррупции в целях формирования единого подхода к обеспечению работы по профилактике и противодействию коррупции своевременно направляются в подведомственные муниципальные учреждения и муниципальные унитарные предприятия. Методические рекомендации по вопросам предоставления сведений о доходах, расхода, об имуществе и обязательствах имущественного характера размещены на официальном сайте органов местного самоуправления Вилючинского городского округа.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д)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в повестку плановых педсоветов образовательных учреждений на декабрь 2024 года внесен вопрос о недопущении получения работниками образовательных организаций подарков от воспитанников / обучающихся и их родителей (законных представителей).</w:t>
      </w:r>
    </w:p>
    <w:p>
      <w:pPr>
        <w:pStyle w:val="Normal"/>
        <w:widowControl/>
        <w:bidi w:val="0"/>
        <w:spacing w:lineRule="auto" w:line="240" w:before="0" w:after="57"/>
        <w:ind w:firstLine="709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В подведомственных муниципальных учреждениях организовано проведение мероприятий, направленных на недопущение получения работниками спортивных организаций подарков от граждан, находящихся на воспитании, от супругов и родственников этих граждан.</w:t>
      </w:r>
    </w:p>
    <w:p>
      <w:pPr>
        <w:pStyle w:val="Normal"/>
        <w:widowControl/>
        <w:bidi w:val="0"/>
        <w:spacing w:lineRule="auto" w:line="240" w:before="0" w:after="57"/>
        <w:ind w:firstLine="709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Проведено совещание с директорами учреждений дополнительного образования сферы культуры, на котором объяснена недопустимость получения подарков;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е)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организованно антикоррупционное образование работников подведомственных учреждений, в том числе проведение семинаров, направленных на решение задач формирования антикоррупционного мировоззрения, повышения уровня правосознания и правовой культуры.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Работники муниципальных образовательных учреждений,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в должностные обязанности которых входит участие в противодействии коррупции,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в период с 2023 по 2024 г.г. прошли курсы повышения квалификации и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 xml:space="preserve"> по состоянию на конец первого полугодия 2024 года обучены по программе «Противодействие коррупции» в количестве 100%, во 2 пол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угодии 2024 года обучение не требовалось.</w:t>
      </w:r>
    </w:p>
    <w:p>
      <w:pPr>
        <w:pStyle w:val="Normal"/>
        <w:widowControl/>
        <w:bidi w:val="0"/>
        <w:spacing w:lineRule="auto" w:line="240" w:before="0" w:after="57"/>
        <w:ind w:firstLine="709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Курс «Противодействие коррупции» прошло 7 сотрудников учреждений сферы культуры;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ж)</w:t>
      </w:r>
      <w:r>
        <w:rPr>
          <w:rFonts w:cs="Times New Roman" w:ascii="Times New Roman" w:hAnsi="Times New Roman"/>
          <w:sz w:val="28"/>
          <w:szCs w:val="28"/>
        </w:rPr>
        <w:t xml:space="preserve"> в подведомственных учреждениях отдела ежегодно проводятся профилактическая и разъяснительная работа в части неукоснительного выполнения ими требований и норм законодательства о противодействии коррупции, а так же незамедлительно сообщаются факты склонения работников учреждения к совершению противоправных и коррупционных правонарушений;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з)</w:t>
      </w:r>
      <w:r>
        <w:rPr>
          <w:rFonts w:cs="Times New Roman" w:ascii="Times New Roman" w:hAnsi="Times New Roman"/>
          <w:sz w:val="28"/>
          <w:szCs w:val="28"/>
        </w:rPr>
        <w:t xml:space="preserve"> обеспечивается осуществление финансового контроля за деятельностью подведомственных организаций.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Финансовый контроль за деятельностью подведомственных образовательных организаций обеспечен согласно плану работы на 2024-2025 учебный год. В октябре 2024 года  отделом образования совместно с Финансовым управлением администрации Вилючинского городского округа проведен финансовый контроль наполняемости классов общеобразовательных учреждений.</w:t>
      </w:r>
    </w:p>
    <w:p>
      <w:pPr>
        <w:pStyle w:val="Normal"/>
        <w:widowControl/>
        <w:bidi w:val="0"/>
        <w:spacing w:lineRule="auto" w:line="240" w:before="0" w:after="57"/>
        <w:ind w:firstLine="709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Текущий  финансовый контроль за деятельностью подведомственных организаций отдела физической культуры, спорта и молодежной политики  осуществляет в рамках своей деятельности централизованная бухгалтерия учреждений образования в соответствии с договором об обслуживании, в соответствии с планом работы финансовый контроль осуществляет контрольно-счетная палата Вилючинского городского округа.</w:t>
      </w:r>
    </w:p>
    <w:p>
      <w:pPr>
        <w:pStyle w:val="Normal"/>
        <w:widowControl/>
        <w:bidi w:val="0"/>
        <w:spacing w:lineRule="auto" w:line="240" w:before="0" w:after="57"/>
        <w:ind w:firstLine="709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Обеспечение финансового контроля за деятельностью учреждений культуры - планы финансово-хозяйственной деятельности утверждаются руководителями подведомственных учреждений;</w:t>
      </w:r>
    </w:p>
    <w:p>
      <w:pPr>
        <w:pStyle w:val="ConsPlusNormal"/>
        <w:spacing w:lineRule="auto" w:line="240" w:before="0" w:after="57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к)</w:t>
      </w:r>
      <w:r>
        <w:rPr>
          <w:rFonts w:cs="Times New Roman" w:ascii="Times New Roman" w:hAnsi="Times New Roman"/>
          <w:sz w:val="28"/>
          <w:szCs w:val="28"/>
        </w:rPr>
        <w:t xml:space="preserve"> информация о деятельности подведомственных организаций в соответствии с Федеральным </w:t>
      </w:r>
      <w:hyperlink r:id="rId2">
        <w:r>
          <w:rPr>
            <w:rStyle w:val="ListLabel1"/>
            <w:rFonts w:cs="Times New Roman" w:ascii="Times New Roman" w:hAnsi="Times New Roman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«Об обеспечении доступа к информации о деятельности государственных органов и органов местного самоуправления» размещена на официальном сайте органов местного самоуправления  Вилючинского городского округа в сети «Интернет», официальных страницах Вконтакте, Телеграмм и Одноклассники. Также информация размещается на официальных сайтах подведомственных учреждений и их официальных страницах.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Доступность информации о деятельности подведомственных образовательных организаций обеспечена на официальных сайтах учреждений, на официальном сайте для размещения информации о государственных (муниципальных)  учреждениях - bus.gov.ru и официальных страницах «ВКонтакте», «Одноклассники».</w:t>
      </w:r>
    </w:p>
    <w:p>
      <w:pPr>
        <w:pStyle w:val="Normal"/>
        <w:widowControl/>
        <w:bidi w:val="0"/>
        <w:spacing w:lineRule="auto" w:line="240" w:before="0" w:after="57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Информация о деятельности МБУДО СШ № 2 и МБУ ЦФКС в соответствии с Федеральным законом  «Об обеспечении доступа к информации о деятельности государственных органов и органов местного самоуправления», в том числе  на официальных сайтах организаций в сети «Интернет» публикуется на  официальной странице органов местного самоуправления ВГО, на официальной странице Вилючинского городского округа на странице вко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нтакте 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8"/>
            <w:shd w:fill="auto" w:val="clear"/>
          </w:rPr>
          <w:t>https://vk.com/vgo_adm</w:t>
        </w:r>
      </w:hyperlink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, на официальной странице в вконтакте МБУ ЦФКС </w:t>
      </w:r>
      <w:hyperlink r:id="rId4" w:tgtFrame="_blank">
        <w:r>
          <w:rPr>
            <w:rStyle w:val="Hyperlink"/>
            <w:rFonts w:cs="Times New Roman" w:ascii="Times New Roman" w:hAnsi="Times New Roman"/>
            <w:sz w:val="28"/>
            <w:szCs w:val="28"/>
            <w:u w:val="single"/>
            <w:shd w:fill="auto" w:val="clear"/>
          </w:rPr>
          <w:t>https://vk.com/club222025243</w:t>
        </w:r>
      </w:hyperlink>
      <w:r>
        <w:rPr>
          <w:rFonts w:cs="Times New Roman" w:ascii="Times New Roman" w:hAnsi="Times New Roman"/>
          <w:sz w:val="28"/>
          <w:szCs w:val="28"/>
          <w:shd w:fill="auto" w:val="clear"/>
        </w:rPr>
        <w:t>, на офици</w:t>
      </w:r>
      <w:r>
        <w:rPr>
          <w:rFonts w:cs="Times New Roman" w:ascii="Times New Roman" w:hAnsi="Times New Roman"/>
          <w:sz w:val="28"/>
          <w:szCs w:val="28"/>
        </w:rPr>
        <w:t xml:space="preserve">альной странице в вконтакте МБУДО «Спортивная школа №2» </w:t>
      </w:r>
      <w:hyperlink r:id="rId5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https://vk.com/vil2ru</w:t>
        </w:r>
      </w:hyperlink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widowControl/>
        <w:bidi w:val="0"/>
        <w:spacing w:lineRule="auto" w:line="240" w:before="0" w:after="57"/>
        <w:ind w:firstLine="709" w:right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Информация об учреждениях культуры размещена на сайтах </w:t>
      </w:r>
      <w:hyperlink r:id="rId6">
        <w:r>
          <w:rPr>
            <w:rStyle w:val="Hyperlink"/>
            <w:rFonts w:ascii="Times New Roman" w:hAnsi="Times New Roman"/>
            <w:sz w:val="28"/>
            <w:szCs w:val="28"/>
          </w:rPr>
          <w:t>https://bus.gov.ru</w:t>
        </w:r>
      </w:hyperlink>
      <w:r>
        <w:rPr>
          <w:rStyle w:val="Hyperlink"/>
          <w:rFonts w:ascii="Times New Roman" w:hAnsi="Times New Roman"/>
          <w:color w:val="000000"/>
          <w:sz w:val="28"/>
          <w:szCs w:val="28"/>
          <w:u w:val="none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У каждого учреждения есть свой сайт на котором размещена вся информация об учреждении;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л)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принимаются меры по внедрению антикоррупционных механизмов в сфере закупок товаров, работ, услуг. П</w:t>
      </w:r>
      <w:r>
        <w:rPr>
          <w:rFonts w:cs="Times New Roman" w:ascii="Times New Roman" w:hAnsi="Times New Roman"/>
          <w:sz w:val="28"/>
          <w:szCs w:val="28"/>
        </w:rPr>
        <w:t xml:space="preserve">роцедуры закупок осуществляются отделами администрации Вилючинского городского округа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подведомственным организациям администрации Вилючинского городского округа принимаются меры по внедрению антикоррупционных механизмов в сфере закупок товаров, работ, услуг.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Постоянно проводится работа, направленная на выявление личной заинтересованности работников подведомственных организаций администрации Вилючинского городского округа при осуществлении таких закупок, которые приводят или могут привести к конфликту интересов. 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Во всех учреждениях системы образования Вилючинского городского округа закупочные процедуры осуществляются в рамках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Ответственные сотрудники своевременно проходят курсы повышения квалификации по образовательной программе «Контрактная система в сфере закупок товаров, работ и услуг для обеспечения муниципальных нужд».</w:t>
      </w:r>
    </w:p>
    <w:p>
      <w:pPr>
        <w:pStyle w:val="Normal"/>
        <w:widowControl/>
        <w:bidi w:val="0"/>
        <w:spacing w:lineRule="auto" w:line="240" w:before="0" w:after="57"/>
        <w:ind w:firstLine="709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В подведомственных учреждениях отдела физической культуры, спорта и молодежной политики меры по внедрению антикоррупционных механизмов в сфере закупок товаров, работ, услуг принимаются в соответствии с положением отдела ФКСиМП ВГО.</w:t>
      </w:r>
    </w:p>
    <w:p>
      <w:pPr>
        <w:pStyle w:val="Normal"/>
        <w:widowControl/>
        <w:bidi w:val="0"/>
        <w:spacing w:lineRule="auto" w:line="240" w:before="0" w:after="57"/>
        <w:ind w:firstLine="709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Отделом культуры закупочные процедуры осуществляются в рамках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</w:t>
      </w:r>
      <w:r>
        <w:rPr>
          <w:rFonts w:cs="Times New Roman" w:ascii="Times New Roman" w:hAnsi="Times New Roman"/>
          <w:sz w:val="28"/>
          <w:szCs w:val="28"/>
        </w:rPr>
        <w:t xml:space="preserve"> Отраслевыми (функциональными) органами администрации Вилючинского городского округа: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а)</w:t>
      </w:r>
      <w:r>
        <w:rPr>
          <w:rFonts w:cs="Times New Roman" w:ascii="Times New Roman" w:hAnsi="Times New Roman"/>
          <w:sz w:val="28"/>
          <w:szCs w:val="28"/>
        </w:rPr>
        <w:t xml:space="preserve"> проводится работа по формированию негативного отношения муниципальных служащих и работников к коррупционному поведению, в том числе с привлечением общественных объединений, уставной задачей которых является участие в противодействии коррупции, и других институтов гражданского общества. 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Финансовым управлением администрации Вилючинского городского округа в текущей работе осуществляется взаимодействие с руководителем Камчатской Региональной Общественной организации по борьбе с коррупцией по формированию негативного отношения к коррупционному поведению.;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б)</w:t>
      </w:r>
      <w:r>
        <w:rPr>
          <w:rFonts w:cs="Times New Roman" w:ascii="Times New Roman" w:hAnsi="Times New Roman"/>
          <w:sz w:val="28"/>
          <w:szCs w:val="28"/>
        </w:rPr>
        <w:t xml:space="preserve"> обеспечивается проведение работы, направленной на выявление личной заинтересованности, которая приводит или может привести к конфликту интересов при осуществлении закупок товаров, работ, услуг для обеспечения муниципальных нужд в соответствии с методическими рекомендациями Министерства труда и социальной защиты Российской федерации.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Процедуры закупок осуществляются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фактов личной заинтересованности не усматривается.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Отдел по внутренней и информационной политике управления делами в целях информационного обеспечения реализации мероприятий по профилактике коррупционных и иных правонарушений: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а) </w:t>
      </w:r>
      <w:r>
        <w:rPr>
          <w:rFonts w:cs="Times New Roman" w:ascii="Times New Roman" w:hAnsi="Times New Roman"/>
          <w:sz w:val="28"/>
          <w:szCs w:val="28"/>
        </w:rPr>
        <w:t>обеспечивает наполнение специализированного раздела, посвященного противодействию коррупции на официальном сайте администрации Вилючинского городского округа в сети «Интернет».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Вся информация, подготовленная ответственными за профилактику коррупционных и иных правонарушений лицами, размещается в разделе «Противодействие коррупции» на официальном сайте органов местного самоуправления Вилючинского городского округа, в котором, помимо главной страницы с основными памятками, содержатся вкладки «Законодательство в сфере противодействия коррупции», «Комиссия по соблюдению требований к служебному поведению муниципальных служащих и урегулированию конфликта интересов», «Планы и отчёты», «Сведения о доходах муниципальных служащих», «Сведения о доходах руководителей муниципальных учреждений», «Формы документов для заполнения»;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</w:t>
      </w:r>
      <w:r>
        <w:rPr>
          <w:rFonts w:cs="Times New Roman" w:ascii="Times New Roman" w:hAnsi="Times New Roman"/>
          <w:sz w:val="28"/>
          <w:szCs w:val="28"/>
        </w:rPr>
        <w:t>) обеспечивает доступ к информации о деятельности администрации Вилючинского городского округа в сфере противодействия коррупции на официальных сайтах органах местного самоуправления в сети «Интернет», в том числе размещение на них ежегодных отчетов об итогах принятых мер антикоррупционной направленности.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Отчет по исполнению Плана мероприятий по противодействию коррупции в Вилючинском городском округе на 2021-2024 годы за 2023 год размещен на официальном сайте органов местного самоуправления Вилючинского городского округа. Отчет об итогах принятых мер антикоррупционной направленности за 2024 год будет размещен в соответствии с Планом мероприятий по противодействию коррупции в Вилючинском городском округе до 01.02.2025 г.;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в)</w:t>
      </w:r>
      <w:r>
        <w:rPr>
          <w:rFonts w:cs="Times New Roman" w:ascii="Times New Roman" w:hAnsi="Times New Roman"/>
          <w:sz w:val="28"/>
          <w:szCs w:val="28"/>
        </w:rPr>
        <w:t xml:space="preserve"> организовывает освещение в средствах массовой информации сведений об антикоррупционной деятельности администрации Вилючинского городского округа, проводимых ими антикоррупционных мероприятий.   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Сведения об антикоррупционной деятельности администрации Вилючинского городского округа, проводимых ими антикоррупционных мероприятиях, подаваемые ответственными лицами, публикуются в средствах массовой информации по мере исполнения Плана мероприятий по противодействию коррупции в Вилючинском городском округе.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4.</w:t>
      </w:r>
      <w:r>
        <w:rPr>
          <w:rFonts w:cs="Times New Roman" w:ascii="Times New Roman" w:hAnsi="Times New Roman"/>
          <w:sz w:val="28"/>
          <w:szCs w:val="28"/>
        </w:rPr>
        <w:t xml:space="preserve"> Общий отдел управления делами администрации Вилючинского городского округа: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а)</w:t>
      </w:r>
      <w:r>
        <w:rPr>
          <w:rFonts w:cs="Times New Roman" w:ascii="Times New Roman" w:hAnsi="Times New Roman"/>
          <w:sz w:val="28"/>
          <w:szCs w:val="28"/>
        </w:rPr>
        <w:t xml:space="preserve"> организовывает и проводит в администрации Вилючинского городского округа профилактические, разъяснительные мероприятия, направленные на соблюдение лицами, замещающими муниципальные д</w:t>
      </w:r>
      <w:r>
        <w:rPr>
          <w:rFonts w:cs="Times New Roman" w:ascii="Times New Roman" w:hAnsi="Times New Roman"/>
          <w:color w:val="000000"/>
          <w:sz w:val="28"/>
          <w:szCs w:val="28"/>
        </w:rPr>
        <w:t>олжности, и муниципальными служащими ограничений и запретов, а также на исполнение ими обязанностей, установленных в целях противодействия коррупции.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2024 году была проведена встреча-совещание сотрудников (муниципальных служащих) администрации Вилючинского городского округа с представителями отдела по профилактике коррупционных и иных правонарушений Администрации Губернатора Камчатского края, доцентом кафедры экономических и социально-гуманитарных наук Петропавловск-Камчатского филиала ФГБОУ ВО «Российская академия народного хозяйства и государственной службы при Президенте Российской Федерации», представителем прокуратуры ЗАТО г. Вилючинск.</w:t>
      </w:r>
    </w:p>
    <w:p>
      <w:pPr>
        <w:pStyle w:val="ConsPlusNormal"/>
        <w:spacing w:lineRule="auto" w:line="240" w:before="0" w:after="57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На встрече были подняты вопросы такие как анализ ситуации, попадающей под понятие «конфликт интересов»; антикоррупционные требования и ограничения, налагаемые на бывших государственных и муниципальных служащих при заключении ими трудовых договоров; рекомендации по заполнению справок о доходах, расходах, об имуществе и обязательствах имущественного характера в 2025 году за 2024 год, в том числе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б)</w:t>
      </w:r>
      <w:r>
        <w:rPr>
          <w:rFonts w:cs="Times New Roman" w:ascii="Times New Roman" w:hAnsi="Times New Roman"/>
          <w:sz w:val="28"/>
          <w:szCs w:val="28"/>
        </w:rPr>
        <w:t xml:space="preserve"> на постоянной основе проводит мероприятия по формированию у муниципальных служащих негативного отношения к дарению подарков этим служащим в связи с их должностным положением или в связи с исполнением ими служебных обязанностей;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в)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2024 году направлены для ознакомления муниципальным служащим Вилючинского городского округа, а также для разъяснительной работы с руководителями учреждений и руководства в работе следующие методические материалы: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2023 году (за отчетный</w:t>
        <w:br/>
        <w:t>2022 год);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обзор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методические рекомендации по профессиональному развитию служащих (работников) в области противодействия коррупции;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обзор разъяснений рекомендательного характера по актуальным вопросам применения антикоррупционного законодательства.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Должностными лицами, ответственными за работу по профилактике коррупционных и иных правонарушений в администрации Вилючинского городского округа в период декларационной кампании 2023 года проведены комплексные мероприятия, тематикой которых являлось разъяснение ситуаций, возникающих при заполнении муниципальными служащими справок о доходах, расходах, об имуществе и обязательствах имущественного характера.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Также обеспечивается своевременная актуализация информационного наполнения подразделов официального сайта органов местного самоуправления Вилючнского городского округа в информационно-телекоммуникационной сети "Интернет", посвященных вопросам противодействия коррупции;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г)</w:t>
      </w:r>
      <w:r>
        <w:rPr>
          <w:rFonts w:cs="Times New Roman" w:ascii="Times New Roman" w:hAnsi="Times New Roman"/>
          <w:sz w:val="28"/>
          <w:szCs w:val="28"/>
        </w:rPr>
        <w:t xml:space="preserve"> по каждому случаю несоблюдения ограничений, запретов и неисполнения обязанностей, установленных в целях противодействия коррупции, осуществляются проверки и применяются соответствующие меры ответственности;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д)</w:t>
      </w:r>
      <w:r>
        <w:rPr>
          <w:rFonts w:cs="Times New Roman" w:ascii="Times New Roman" w:hAnsi="Times New Roman"/>
          <w:sz w:val="28"/>
          <w:szCs w:val="28"/>
        </w:rPr>
        <w:t xml:space="preserve"> В 2024 году было проведено 4 заседания комиссии по соблюдению требований к служебному поведению муниципальных служащих и урегулированию конфликта интересов в администрации Вилючинского городского округа, на которых было рассмотрено 8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вопросов в отношении муниципальных служащих администрации Вилючинского городского округа и 1 заседание </w:t>
      </w:r>
      <w:r>
        <w:rPr>
          <w:rStyle w:val="Style22"/>
          <w:rFonts w:cs="Times New Roman" w:ascii="Nimbus Roman" w:hAnsi="Nimbus Roman"/>
          <w:color w:val="000000"/>
          <w:sz w:val="28"/>
          <w:szCs w:val="28"/>
        </w:rPr>
        <w:t xml:space="preserve">комиссии </w:t>
      </w:r>
      <w:r>
        <w:rPr>
          <w:rStyle w:val="Style22"/>
          <w:rFonts w:ascii="Nimbus Roman" w:hAnsi="Nimbus Roman"/>
          <w:color w:val="000000"/>
          <w:sz w:val="28"/>
          <w:szCs w:val="28"/>
        </w:rPr>
        <w:t xml:space="preserve">по урегулированию конфликта интересов и соблюдению требований к служебному поведению руководителями муниципальных учреждений Вилючинского городского округа, подведомственных администрации </w:t>
      </w:r>
      <w:r>
        <w:rPr>
          <w:rStyle w:val="Style22"/>
          <w:rFonts w:cs="Times New Roman" w:ascii="Nimbus Roman" w:hAnsi="Nimbus Roman"/>
          <w:color w:val="000000"/>
          <w:sz w:val="28"/>
          <w:szCs w:val="28"/>
        </w:rPr>
        <w:t>Вилючинского городского округа, на котором был рассмотрен 1 вопрос в отношении руководителя муниципального учреждения;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е)</w:t>
      </w:r>
      <w:r>
        <w:rPr>
          <w:rFonts w:cs="Times New Roman" w:ascii="Times New Roman" w:hAnsi="Times New Roman"/>
          <w:sz w:val="28"/>
          <w:szCs w:val="28"/>
        </w:rPr>
        <w:t xml:space="preserve"> в администрации Вилючинского городского округа действует комиссия по соблюдению требований к служебному поведению муниципальных служащих и урегулированию конфликта интересов. Постановлением администрации Вилючинского городского округа от 10.05.2023 № 394 «О комиссии по соблюдению требований к служебному поведению муниципальных служащих и урегулированию конфликта интересов в администрации Вилючинского городского округа» утвержден состав комиссии и Положение;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ж)</w:t>
      </w:r>
      <w:r>
        <w:rPr>
          <w:rFonts w:cs="Times New Roman" w:ascii="Times New Roman" w:hAnsi="Times New Roman"/>
          <w:sz w:val="28"/>
          <w:szCs w:val="28"/>
        </w:rPr>
        <w:t xml:space="preserve"> ежегодно проводятся организационные, разъяснительные мероприятий, направленные на недопущение муниципальными служащими и работниками подведомственных организаций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(с применением рекомендаций Министерства труда и социальной защиты Российской Федерации от 4 марта 2013 года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взятки);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з)</w:t>
      </w:r>
      <w:r>
        <w:rPr>
          <w:rFonts w:cs="Times New Roman" w:ascii="Times New Roman" w:hAnsi="Times New Roman"/>
          <w:sz w:val="28"/>
          <w:szCs w:val="28"/>
        </w:rPr>
        <w:t xml:space="preserve"> ведется постоянный контроль за выполнением муниципальными служащими обязанности сообщать в случаях, установленных федеральными законами, о получении ими подарка;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и)</w:t>
      </w:r>
      <w:r>
        <w:rPr>
          <w:rFonts w:cs="Times New Roman" w:ascii="Times New Roman" w:hAnsi="Times New Roman"/>
          <w:sz w:val="28"/>
          <w:szCs w:val="28"/>
        </w:rPr>
        <w:t xml:space="preserve"> ведется постоянный контроль за выполнением муниципальными служащими обязанности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к)</w:t>
      </w:r>
      <w:r>
        <w:rPr>
          <w:rFonts w:cs="Times New Roman" w:ascii="Times New Roman" w:hAnsi="Times New Roman"/>
          <w:sz w:val="28"/>
          <w:szCs w:val="28"/>
        </w:rPr>
        <w:t xml:space="preserve"> ежегодно в установленном порядке в срок (до 30 апреля) принимаются сведения о доходах муниципальных служащих и их членов семьи, данные сведения публикуются (в течение 14 рабочих дней со дня истечения срока, установленного для подачи), а затем анализируются (до 1 октября);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2024 году все муниципальные служащие и руководители муниципальных учреждений в срок до 30 апреля предоставили сведения о доходах, расходах, об имуществе и обязательствах имущественного характера. В соответствии с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подпунктом «ж» пункта 1 Указа Президента Российской Федерации № 968 от 29 декабря 2022 г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ода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размещение сведений о доходах расходах, об имуществе и обязательствах имущественного характера на официальных сайтах органов местного самоуправления Вилючинского городского округа в информационно-телекоммуникационной сети «Интернет» для опубликования в 2024 году не осуществлялось.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До 01.10.2024 года был проведен анализ сведений о доходах, расходах, имуществе и обязательствах имущественного характера за 2023 год, который в установленный срок предоставлен в Отдел по профилактике коррупционных и иных правонарушений Администрации Губернатора Камчатского края;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л)</w:t>
      </w:r>
      <w:r>
        <w:rPr>
          <w:rFonts w:cs="Times New Roman" w:ascii="Times New Roman" w:hAnsi="Times New Roman"/>
          <w:sz w:val="28"/>
          <w:szCs w:val="28"/>
        </w:rPr>
        <w:t xml:space="preserve"> при организации работы по представлению лицами, замещающими муниципальные должности, и муниципальными служащими сведений о доходах руководствуемся методическими рекомендациями, разработанными Министерством труда и социальной защиты Российской Федерации;</w:t>
      </w:r>
    </w:p>
    <w:p>
      <w:pPr>
        <w:pStyle w:val="ConsPlusNormal"/>
        <w:spacing w:lineRule="auto" w:line="240" w:before="0" w:after="57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м)</w:t>
      </w:r>
      <w:r>
        <w:rPr>
          <w:rFonts w:cs="Times New Roman" w:ascii="Times New Roman" w:hAnsi="Times New Roman"/>
          <w:sz w:val="28"/>
          <w:szCs w:val="28"/>
        </w:rPr>
        <w:t xml:space="preserve"> проводится анализ сведений о расходах, представленных муниципальными служащими, в рамках реализации Федерального </w:t>
      </w:r>
      <w:hyperlink r:id="rId7">
        <w:r>
          <w:rPr>
            <w:rStyle w:val="ListLabel1"/>
            <w:rFonts w:cs="Times New Roman" w:ascii="Times New Roman" w:hAnsi="Times New Roman"/>
            <w:sz w:val="28"/>
            <w:szCs w:val="28"/>
          </w:rPr>
          <w:t>закона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 в целях получения информации о том, что муниципальным служащим, его супругой (супругом) и (или) несовершеннолетними детьми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муниципального служащего и его супруги (супруга) за три последних года, предшествующих отчетному периоду;</w:t>
      </w:r>
    </w:p>
    <w:p>
      <w:pPr>
        <w:pStyle w:val="ConsPlusNormal"/>
        <w:spacing w:lineRule="auto" w:line="240" w:before="0" w:after="57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н)</w:t>
      </w:r>
      <w:r>
        <w:rPr>
          <w:rFonts w:cs="Times New Roman" w:ascii="Times New Roman" w:hAnsi="Times New Roman"/>
          <w:sz w:val="28"/>
          <w:szCs w:val="28"/>
        </w:rPr>
        <w:t xml:space="preserve"> проводится сопоставление анализа сведений о расходах и доходах в рамках реализации положений Федерального </w:t>
      </w:r>
      <w:hyperlink r:id="rId8">
        <w:r>
          <w:rPr>
            <w:rStyle w:val="ListLabel1"/>
            <w:rFonts w:cs="Times New Roman" w:ascii="Times New Roman" w:hAnsi="Times New Roman"/>
            <w:sz w:val="28"/>
            <w:szCs w:val="28"/>
          </w:rPr>
          <w:t>закона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доходам». Основания для осуществления контроля за расходами в отношении муниципальных служащих для направления соответствующей информации Губернатору Камчатского края за 2023 год отсутствуют;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о)</w:t>
      </w:r>
      <w:r>
        <w:rPr>
          <w:rFonts w:cs="Times New Roman" w:ascii="Times New Roman" w:hAnsi="Times New Roman"/>
          <w:sz w:val="28"/>
          <w:szCs w:val="28"/>
        </w:rPr>
        <w:t xml:space="preserve"> результаты анализа сведений о доходах, включая каждый случай непредставления, а также представления неполных или недостоверных сведений о доходах рассматривается в установленном порядке на заседании комиссии по соблюдению требований к служебному поведению муниципальных служащих и урегулированию конфликта интересов;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п)</w:t>
      </w:r>
      <w:r>
        <w:rPr>
          <w:rFonts w:cs="Times New Roman" w:ascii="Times New Roman" w:hAnsi="Times New Roman"/>
          <w:sz w:val="28"/>
          <w:szCs w:val="28"/>
        </w:rPr>
        <w:t xml:space="preserve"> ежегодно до 1 декабря проводится оценка коррупционных рисков, возникающих при реализации органами местного самоуправления своих функций, и вносятся до 31 декабря уточнения в перечни должностей муниципальной службы, замещение которых связано с коррупционными рисками. Информация об уточнении перечня будет направлена в отдел по профилактике коррупционных и иных правонарушений Администрации Губернатора Камчатского края в установленный срок.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5.</w:t>
      </w:r>
      <w:r>
        <w:rPr>
          <w:rFonts w:cs="Times New Roman" w:ascii="Times New Roman" w:hAnsi="Times New Roman"/>
          <w:sz w:val="28"/>
          <w:szCs w:val="28"/>
        </w:rPr>
        <w:t xml:space="preserve"> Управление правового обеспечения и контроля администрации Вилючинского городского округа: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а)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Управлением правового обеспечения и контроля в 2024 году продолжена работа по проведению экспертизы проектов нормативных правовых актов на коррупциогенность. Выявленные в ходе проверки коррупциогенные факторы устранялись  разработчиками непосредственно при согласовании актов, спорных ситуаций не возникало, заключения о выявлении в проекте акта коррупциогенных факторов не составлялись. По состоянию на 15.12.2024 осуществлена экспертиза 38 проектов нормативных правовых актов;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 xml:space="preserve">б)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для обеспечения условий проведения независимой антикоррупционной экспертизы муниципальных правовых актов в разделе «Муниципальные правовые акты» официального сайта администрации Вилючинского городского округа в обязательном порядке размещаются как проекты муниципальных нормативных правовых актов для целей проведения независимой антикоррупционной экспертизы до их принятия органом местного самоуправления, так  действующие правовые акты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; </w:t>
      </w:r>
    </w:p>
    <w:p>
      <w:pPr>
        <w:pStyle w:val="Normal"/>
        <w:suppressAutoHyphens w:val="true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в)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>в рамках процедуры оценки регулирующего воздействия проектов нормативных правовых актов и действующих правовых актов Управлением ПО и контроля в 2024 году осуществляется работа на основании плана проведения экспертизы правовых актов, затрагивающих вопросы осуществления предпринимательской и инвестиционной деятельности. По состоянию на отчетную дату запланированные мероприятия исполнены, проведены 2 экспертизы. По результатам экспертизы нарушений не выявлено.</w:t>
      </w:r>
    </w:p>
    <w:p>
      <w:pPr>
        <w:pStyle w:val="Normal"/>
        <w:suppressAutoHyphens w:val="true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6.</w:t>
      </w:r>
      <w:r>
        <w:rPr>
          <w:rFonts w:cs="Times New Roman" w:ascii="Times New Roman" w:hAnsi="Times New Roman"/>
          <w:sz w:val="28"/>
          <w:szCs w:val="28"/>
        </w:rPr>
        <w:t xml:space="preserve"> Отделами администрации Вилючинского городского округа принимаются меры по внедрению антикоррупционных механизмов в сфере закупок товаров, работ, услуг для обеспечения муниципальных нужд.</w:t>
      </w:r>
    </w:p>
    <w:p>
      <w:pPr>
        <w:pStyle w:val="Normal"/>
        <w:suppressAutoHyphens w:val="true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Процедуры закупок осуществляются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О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беспечена полная информационная прозрачность на всех этапах закупочной деятельности. Информация о муниципальных заказах размещена на электронных торговых площадках в строгом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 xml:space="preserve">7.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Отделом по внутренней и информа</w:t>
      </w:r>
      <w:r>
        <w:rPr>
          <w:rFonts w:cs="Times New Roman" w:ascii="Times New Roman" w:hAnsi="Times New Roman"/>
          <w:sz w:val="28"/>
          <w:szCs w:val="28"/>
        </w:rPr>
        <w:t xml:space="preserve">ционной политике управления делами администрации Вилючинского городского округа принимаются меры для обеспечения эффективного взаимодействия администрации Вилючинского городского округа с институтами гражданского общества, в том числе посредством функционирования общественного совета и организаций общественного обсуждения проектов муниципальных нормативных правовых актов. 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осуществления общественного контроля в порядке, установленном законодательством, постановлением главы Вилючинского городского округа от 05.04.2021 № 37 создан общественный совет при главе Вилючинского  городского округа (далее – Общественный совет), одной из функций которого является организация и проведение общественной оценки деятельности органов местного самоуправления.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8.</w:t>
      </w:r>
      <w:r>
        <w:rPr>
          <w:rFonts w:cs="Times New Roman" w:ascii="Times New Roman" w:hAnsi="Times New Roman"/>
          <w:sz w:val="28"/>
          <w:szCs w:val="28"/>
        </w:rPr>
        <w:t xml:space="preserve"> Граждане Вилючинского городского округа имеют возможность своевременно и беспрепятственно сообщать в администрацию Вилючинского городского округа об имевших место коррупциогенных проявлениях следующими способами: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оставить сообщение в специализированных ящиках «Для обращений граждан по вопросам коррупции». На территории Вилючинского городского округа установлено 2 таких специализированных ящика (на первом этаже здания администрации Вилючинского городского округа по адресу: ул. Победы, д.1 и на первом этаже в здании Дома офицеров флота, структурного подразделения муниципального бюджетного учреждения «Дом Культуры» по адресу: ул. Вилкова, д.35. Выемка обращений граждан по вопросам коррупции, поступающих в специализированный ящик, осуществляется не реже 2 раз в месяц в соответствии с Порядком организации, установки и вскрытия специализированных ящиков «Для обращений граждан по вопросам коррупции», утвержденного постановление администрации Вилючинского городского округа от 23.05.2018 № 500 «Об утверждении Порядка организации, установки и вскрытия специализированных ящиков «Для обращений граждан по вопросам коррупции» в Вилючинском городском округе»;</w:t>
      </w:r>
    </w:p>
    <w:p>
      <w:pPr>
        <w:pStyle w:val="ConsPlusNormal"/>
        <w:spacing w:lineRule="auto" w:line="240" w:before="0" w:after="57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2) написать сообщение на официальном сайте администрации Вилючинского городского округа </w:t>
      </w:r>
      <w:hyperlink r:id="rId9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https://viluchinsk-city.ru/</w:t>
        </w:r>
      </w:hyperlink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с помощью «Телефона доверия» номер 3-16-97 для обращений по фактам проявления коррупции в Вилючинском городском округе. 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Информация о способах сообщения в администрацию Вилючинского городского округа об имевших место коррупциогенных проявлениях размещена на официальном сайте администрации Вилючинского городского округа во вкладке «Противодействие коррупции». 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9.</w:t>
      </w:r>
      <w:r>
        <w:rPr>
          <w:rFonts w:cs="Times New Roman" w:ascii="Times New Roman" w:hAnsi="Times New Roman"/>
          <w:sz w:val="28"/>
          <w:szCs w:val="28"/>
        </w:rPr>
        <w:t xml:space="preserve"> Отделом по внутренней и информационной политике управления делами администрации Вилючинского городского на постоянной основе проводится мониторинг средств массовой информации (в том числе в сети Интернет: паблики и сообщества в социальных сетях и мессенджере Телеграм) на предмет наличия в них публикаций о проявлениях коррупции со стороны муниципальных служащих и лиц, замещающих муниципальные должности.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10.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Управлением правового обеспечения и контроля администрации Вилючинского городского округа в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 2024 году: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в Арбитражном суде Камчатского края  рассмотрено 1  дело о признании незаконным ненормативных актов, решений, действий (бездействий) администрации Вилючинского городского округа, а именно: 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- по исковому заявлению публичного акционерного общества энергетики и электрификации «Камчатскэнерго» к администрации Вилючинского городского округа закрытого административно-территориального образования города Вилючинска Камчатского края  о признании недействительным постановления от 10.07.2024 № 620 «О закреплении и передаче на праве оперативного управления объектов недвижимого имущества» с даты вступления его в законную силу, о применении последствий недействительности сделок в виде возврата в оперативное управление МКП ВГО «Вилючинский водоканал»: «нежилых помещений этаж подвал на поэтажном плане поз. 1-10 подвала» кадастровый номер 41:02:0010106:9308, расположенное по адресу: г. Вилючинск, м-н Северный, д. 17; «нежилых помещений первого этажа на поэтажном плане поз. 1-35» кадастровый номер 41:02:0010106:9274, расположенное по адресу: г. Вилючинск, м-н Северный, д. 17; «нежилых помещений второго этажа на поэтажном плане поз. 1-55» кадастровый номер 41:02:0010106:9351, расположенное по адресу: г. Вилючинск, м-н Северный, д. 17. В удовлетворении исковых требований</w:t>
        <w:br/>
        <w:t xml:space="preserve">ПАО «Камчатскэнерго» отказано. 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- в Вилючинском городском суде Камчатского края рассмотрено 7 дел о признании незаконным ненормативных актов, решений, действий (бездействий) администрации Вилючинского городского округа, а именно: 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- административное дело по административному исковому заявлению и.о прокурора ЗАТО г. Вилючинска, поданное в порядке ст. 39 Кодекса административного судопроизводства Российской Федерации,  в интересах неопределенного круга лиц и Вилючинского городского округа о признании незаконным бездействия администрации Вилючинского городского округа в непринятии мер по организации по приведению в нормативное состояние участка дороги (проезда), возложении обязанности устранить допущенные нарушения. Административное исковое заявление и.о. прокурора ЗАТО</w:t>
        <w:br/>
        <w:t>г. Вилючинска удовлетворен;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- административное дело по административному исковому заявлению прокурора ЗАТО г. Вилючинска, поданное в порядке ст. 39 Кодекса административного судопроизводства Российской Федерации, в интересах неопределенного круга лиц и Вилючинского городского округа, к администрации Вилючинского городского округа о непринятии мер по организации и приведению в нормативное состояние участка дороги (проезда) между домами № 17 и № 19 мкр. Центральный г. Вилючинск. Обязать администрацию Вилючинского городского округа ЗАТО г. Вилючинска Камчатского края в течение 6 месяцев с момента вступления решения суда в законную силу организовать приведение участка дороги (проезда) между домами № 17 и № 19 мкр. Центральный г. Вилючинск в соответствии с требованиями ГОСТ Р 50597-2017 «Национальный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утвержденным Приказом Госстандарта от 26.09.2017 № 1245-ст. Административный иск удовлетворен, решение суда первой инстанции администрацией ВГО не обжаловалось;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- административное дело по административному исковому заявлению прокурора ЗАТО г. Вилючинска, поданное в порядке главы 22 КАС РФ в суд с административным иском к администрации Вилючинского городского округа ЗАТО г. Вилючинска Камчатского края (далее администрация) о признании бездействия незаконным, возложении обязанности устранить нарушения.,  в интересах неопределенного круга лиц и Вилючинского городского округа, к администрации Вилючинского городского округа о признать бездействие администрации по устранению нарушений требований, установленных ст. 12 ФЗ от 10.12.1995 № 196-ФЗ "О безопасности дорожного движения", п. 5.3.1.-5.3.2.1 ГОСТ Р 52766-2007 незаконным, в части необеспечения в жилом районе Приморский места остановки транспортных средств по маршруту регулярных перевозок, расположенного на 1 км. 713 м. от кольцевого пересечения дорог до поста «ГАИ-ВАИ» (в районе ул. Лесная) автопавильоном для защиты от атмосферных осадков; в жилом районе Приморский места остановки транспортных средств по маршруту регулярных перевозок, расположенного на 0 км. 426 м. от поста «ГАИ-ВАИ» - КПП «Паратунка (выезд из города) автопавильоном для защиты от атмосферных осадков; в жилом районе Рыбачий места остановки транспортных средств по маршруту регулярных перевозок, расположенного на 1 км. 390 м. от поста «ГАИ-ВАИ» до КПП «Комендатура» (в районе ул. Вилкова, д. 35) автопавильоном для защиты от атмосферных осадков и остановочной площадкой; в жилом районе Рыбачий места остановки транспортных средств по маршруту регулярных перевозок, расположенного на 0 км. 596 м. от поста «ГАИ-ВАИ» до КПП «Комендатура» (в районе ул. Вилкова, д. 47) автопавильоном для защиты от атмосферных осадков и остановочной площадкой.</w:t>
      </w:r>
    </w:p>
    <w:p>
      <w:pPr>
        <w:pStyle w:val="BodyText"/>
        <w:widowControl/>
        <w:spacing w:lineRule="auto" w:line="240" w:before="0" w:after="57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Обязать администрацию Вилючинского городского округа за счет средств местного бюджета в течение одного месяца со дня вступления решения суда в законную силу оборудовать места остановки транспортных средств по маршруту регулярных перевозок, местами для защиты от атмосферных осадков (автопавильонами) в следующих местах: </w:t>
      </w:r>
    </w:p>
    <w:p>
      <w:pPr>
        <w:pStyle w:val="BodyText"/>
        <w:widowControl/>
        <w:spacing w:lineRule="auto" w:line="240" w:before="0" w:after="57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- в жилом районе Приморский остановку, расположенную на 1 км. 713 м. от кольцевого пересечения дорог до поста «ГАИ-ВАИ» (в районе ул. Лесная);</w:t>
      </w:r>
    </w:p>
    <w:p>
      <w:pPr>
        <w:pStyle w:val="BodyText"/>
        <w:widowControl/>
        <w:spacing w:lineRule="auto" w:line="240" w:before="0" w:after="57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- в жилом районе Приморский остановку, расположенную на 0 км. 426 м. от поста «ГАИ-ВАИ» - КПП «Паратунка (выезд из города);</w:t>
      </w:r>
    </w:p>
    <w:p>
      <w:pPr>
        <w:pStyle w:val="BodyText"/>
        <w:widowControl/>
        <w:spacing w:lineRule="auto" w:line="240" w:before="0" w:after="57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- в жилом районе Рыбачий остановку, расположенную на 1 км. 390 м. от поста «ГАИ-ВАИ» до КПП «Комендатура» (в районе ул. Вилкова, д. 35);</w:t>
      </w:r>
    </w:p>
    <w:p>
      <w:pPr>
        <w:pStyle w:val="BodyText"/>
        <w:widowControl/>
        <w:spacing w:lineRule="auto" w:line="240" w:before="0" w:after="57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- в жилом районе Рыбачий остановку, расположенную на 0 км. 596 м. от поста «ГАИ-ВАИ» до КПП «Комендатура» (в районе ул. Вилкова, д. 47).</w:t>
      </w:r>
    </w:p>
    <w:p>
      <w:pPr>
        <w:pStyle w:val="BodyText"/>
        <w:widowControl/>
        <w:spacing w:lineRule="auto" w:line="240" w:before="0" w:after="57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 xml:space="preserve">Обязать администрацию Вилючинского городского округа за счет средств местного бюджета в течение одного месяца со дня вступления решения суда в законную силу оборудовать места остановки транспортных средств по маршруту регулярных перевозок остановочными площадками в следующих местах: </w:t>
      </w:r>
    </w:p>
    <w:p>
      <w:pPr>
        <w:pStyle w:val="BodyText"/>
        <w:widowControl/>
        <w:spacing w:lineRule="auto" w:line="240" w:before="0" w:after="57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- в жилом районе Рыбачий остановку, расположенную на 1 км. 390 м. от поста «ГАИ-ВАИ» до КПП «Комендатура» (в районе ул. Вилкова, д. 35);</w:t>
      </w:r>
    </w:p>
    <w:p>
      <w:pPr>
        <w:pStyle w:val="BodyText"/>
        <w:widowControl/>
        <w:spacing w:lineRule="auto" w:line="240" w:before="0" w:after="57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- в жилом районе Рыбачий остановку, расположенную на 0 км. 596 м. от поста «ГАИ-ВАИ» до КПП «Комендатура» (в районе ул. Вилкова, д. 47).</w:t>
      </w:r>
    </w:p>
    <w:p>
      <w:pPr>
        <w:pStyle w:val="BodyText"/>
        <w:widowControl/>
        <w:spacing w:lineRule="auto" w:line="240" w:before="0" w:after="57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Административный иск удовлетворен, решение суда первой инстанции администрацией ВГО не обжаловалось;</w:t>
      </w:r>
    </w:p>
    <w:p>
      <w:pPr>
        <w:pStyle w:val="BodyText"/>
        <w:widowControl/>
        <w:spacing w:lineRule="auto" w:line="240" w:before="0" w:after="57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- административное дело по административному исковому заявлению и.о прокурора ЗАТО г. Вилючинска, поданное в порядке ст. 39 Кодекса административного судопроизводства Российской Федерации,  в интересах неопределенного круга лиц и Вилючинского городского округа, к  администрации Вилючинского городского округа ЗАТО г. Вилючинска Камчатского края о признании незаконным бездействия по принятию мер по организации приведения дорог в нормативное состояние в части выделения денежных средств на нанесение дорожной разметки, возложении обязанности устранить допущенные нарушения. Административное исковое заявление и.о. прокурора ЗАТО г. Вилючинска удовлетворено;</w:t>
      </w:r>
    </w:p>
    <w:p>
      <w:pPr>
        <w:pStyle w:val="BodyText"/>
        <w:widowControl/>
        <w:spacing w:lineRule="auto" w:line="240" w:before="0" w:after="57"/>
        <w:ind w:firstLine="709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- административное дело по административному исковому заявлению и.о прокурора ЗАТО г. Вилючинска, поданное в порядке ст. 39 Кодекса административного судопроизводства Российской Федерации,  в интересах неопределенного круга лиц и Вилючинского городского округа, к администрации Вилючинского городского округа закрытого административно-территориального образования города Вилючинска Камчатского края о признании незаконным бездействия по непринятию мер к демонтажу рекламных конструкций, возложении обязанности устранить допущенные нарушения. Административное исковое заявление и.о. прокурора ЗАТО</w:t>
        <w:br/>
        <w:t>г. Вилючинска удовлетворено.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11.</w:t>
      </w:r>
      <w:r>
        <w:rPr>
          <w:rFonts w:cs="Times New Roman" w:ascii="Times New Roman" w:hAnsi="Times New Roman"/>
          <w:sz w:val="28"/>
          <w:szCs w:val="28"/>
        </w:rPr>
        <w:t xml:space="preserve"> Отделами администрации Вилючинского городского округа: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а)</w:t>
      </w:r>
      <w:r>
        <w:rPr>
          <w:rFonts w:cs="Times New Roman" w:ascii="Times New Roman" w:hAnsi="Times New Roman"/>
          <w:sz w:val="28"/>
          <w:szCs w:val="28"/>
        </w:rPr>
        <w:t xml:space="preserve"> принимаются меры по устранению условий, способствующих совершению коррупционных правонарушений, с которыми граждане встречаются наиболее часто (бытовая коррупция). 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Для устранения условий, способствующих совершению коррупционных правонарушений при реализации муниципальных услуг разработаны административные регламенты для предоставления муниципальных услуг в электронном виде, которые прошли антикоррозионную экспертизу в прокуратуре ЗАТО г. Вилючинска.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>В целях минимизации проявления «бытовой» коррупции проводятся следующие мероприятия: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>- сокращение личного общения служащих (работников) и граждан путем использования электронных форм документов (предоставление услуг через МФЦ, в электронной форме с помощью порталов: Госуслуги, ЕПГУ, РПГУ);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>- использование предварительной записи на прием;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>- обеспечение открытости и прозрачности бюджетного процесса и бюджетной информации, в том числе размещение отчетов о деятельности администрации Вилючинского городского округа, исполнении муниципальных программ в свободном доступе;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>- пропагандирование нетерпимости коррупции, путем размещения в помещениях, занимаемых администрацией Вилючинского городского округа и подведомственными организациями, информационных материалов по профилактике коррупционных проявлений со стороны граждан и предупреждению коррупционного поведения муниципальных служащих (иных сотрудников);</w:t>
      </w:r>
    </w:p>
    <w:p>
      <w:pPr>
        <w:pStyle w:val="ConsPlusNormal"/>
        <w:spacing w:lineRule="auto" w:line="240" w:before="0" w:after="57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- проведение рабочих совещаний с сотрудниками отделов администрации Вилючинского городского округа и подведомственных организаций, направленных на повышение правовой грамотности, популяризацию антикоррупционных стандартов поведения, предупреждению коррупционного поведения муниципальных служащих (иных сотрудников);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б)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в зданиях администрации и помещениях, занимаемых органами местного самоуправления и подведомственными организациями, размещены информационные стенды с материалами по профилактике коррупционных проявлений со стороны граждан и предупреждению коррупционного поведения муниципальных служащих;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в)</w:t>
      </w:r>
      <w:r>
        <w:rPr>
          <w:rFonts w:cs="Times New Roman" w:ascii="Times New Roman" w:hAnsi="Times New Roman"/>
          <w:sz w:val="28"/>
          <w:szCs w:val="28"/>
        </w:rPr>
        <w:t xml:space="preserve"> принимаются меры по повышению уровня правовой грамотности граждан, их правовому воспитанию и популяризации антикоррупционных стандартов поведения, основанных на знаниях общих прав и обязанностей путем размещения информации на стендах в зданиях администрации и помещениях, занимаемых органами местного самоуправления и подведомственными организациями, также при необходимости вносятся соответствующие изменения в муниципальные нормативные правовые акты;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г)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обеспечивается разработка и издание методических пособий и печатной продукции по вопросам повышения уровня правосознания граждан и популяризации антикоррупционных стандартов поведения, основанных на знаниях общих прав и обязанностей. </w:t>
      </w:r>
    </w:p>
    <w:p>
      <w:pPr>
        <w:pStyle w:val="ConsPlusNormal"/>
        <w:spacing w:lineRule="auto" w:line="240" w:before="0" w:after="57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Финансовое управление администрации Вилючинского городского округа информацию по вопросам повышения уровня правосознания граждан и популяризации антикоррупционных стандартов поведения, основанных на знаниях общих прав и обязанностей включила в 2024 году в справочно-информационный материал (брошюра «Информация для предпринимателей») для субъектов предпринимательской деятельности издаваемый ежегодно отделом по работе с предпринимателями, инвестиционной политики финансового управления администрации Вилючинского городского округа в рамках основного мероприятия «информационная и консультационная поддержка субъектов малого и среднего предпринимательства» Подпрограммы 2 «Развитие малого и среднего предпринимательства» муниципальной программы «Развитие экономики, малого и среднего предпринимательства и формирование благоприятной инвестиционной среды в Вилючинском городском округе», утвержденной постановлением администрации Вилючинского городского округа от 17.12.2015 № 1621 по вопросам ведения предпринимательской деятельности;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д)</w:t>
      </w:r>
      <w:r>
        <w:rPr>
          <w:rFonts w:cs="Times New Roman" w:ascii="Times New Roman" w:hAnsi="Times New Roman"/>
          <w:sz w:val="28"/>
          <w:szCs w:val="28"/>
        </w:rPr>
        <w:t xml:space="preserve"> организовано проведение «прямых линий» с гражданами по вопросам антикоррупционного просвещения, отнесенных к сфере деятельности органов местного самоуправления, посредством которых проводится познавательно — разъяснительная работа;</w:t>
      </w:r>
    </w:p>
    <w:p>
      <w:pPr>
        <w:pStyle w:val="ConsPlusNormal"/>
        <w:spacing w:lineRule="auto" w:line="240" w:before="0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е)</w:t>
      </w:r>
      <w:r>
        <w:rPr>
          <w:rFonts w:cs="Times New Roman" w:ascii="Times New Roman" w:hAnsi="Times New Roman"/>
          <w:sz w:val="28"/>
          <w:szCs w:val="28"/>
        </w:rPr>
        <w:t xml:space="preserve"> администрация Вилючинского городского округа в пределах своей компетенции оказывает отделу по профилактике коррупционных и иных правонарушений содействие в сфере противодействия коррупции в Камчатском крае.</w:t>
      </w:r>
    </w:p>
    <w:sectPr>
      <w:headerReference w:type="default" r:id="rId10"/>
      <w:type w:val="nextPage"/>
      <w:pgSz w:w="11906" w:h="16838"/>
      <w:pgMar w:left="1418" w:right="851" w:gutter="0" w:header="709" w:top="1134" w:footer="0" w:bottom="1135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Symbo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Open Sans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Nimbus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uiPriority="0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3353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e72da7"/>
    <w:rPr>
      <w:rFonts w:ascii="Calibri" w:hAnsi="Calibri" w:eastAsia="Calibri" w:cs="Times New Roman"/>
      <w:szCs w:val="21"/>
    </w:rPr>
  </w:style>
  <w:style w:type="character" w:styleId="Style15" w:customStyle="1">
    <w:name w:val="Нижний колонтитул Знак"/>
    <w:basedOn w:val="DefaultParagraphFont"/>
    <w:uiPriority w:val="99"/>
    <w:qFormat/>
    <w:rsid w:val="0095344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9277f0"/>
    <w:rPr>
      <w:rFonts w:ascii="Segoe UI" w:hAnsi="Segoe UI" w:cs="Segoe UI"/>
      <w:sz w:val="18"/>
      <w:szCs w:val="18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31799b"/>
    <w:rPr/>
  </w:style>
  <w:style w:type="character" w:styleId="Hyperlink">
    <w:name w:val="Hyperlink"/>
    <w:basedOn w:val="DefaultParagraphFont"/>
    <w:unhideWhenUsed/>
    <w:rsid w:val="00681bfe"/>
    <w:rPr>
      <w:color w:themeColor="hyperlink" w:val="0563C1"/>
      <w:u w:val="single"/>
    </w:rPr>
  </w:style>
  <w:style w:type="character" w:styleId="Style18" w:customStyle="1">
    <w:name w:val="Гипертекстовая ссылка"/>
    <w:qFormat/>
    <w:rsid w:val="00a346f0"/>
    <w:rPr>
      <w:b/>
      <w:bCs/>
      <w:color w:val="008000"/>
      <w:sz w:val="20"/>
      <w:szCs w:val="20"/>
      <w:u w:val="single"/>
    </w:rPr>
  </w:style>
  <w:style w:type="character" w:styleId="Style19" w:customStyle="1">
    <w:name w:val="Текст концевой сноски Знак"/>
    <w:basedOn w:val="DefaultParagraphFont"/>
    <w:qFormat/>
    <w:rsid w:val="00a346f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0">
    <w:name w:val="Символ концевой сноски"/>
    <w:qFormat/>
    <w:rsid w:val="00a346f0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2z0">
    <w:name w:val="WW8Num2z0"/>
    <w:qFormat/>
    <w:rPr>
      <w:rFonts w:ascii="Symbol" w:hAnsi="Symbol" w:cs="Symbol"/>
    </w:rPr>
  </w:style>
  <w:style w:type="character" w:styleId="Style21">
    <w:name w:val="Маркеры"/>
    <w:qFormat/>
    <w:rPr>
      <w:rFonts w:ascii="OpenSymbol" w:hAnsi="OpenSymbol" w:eastAsia="OpenSymbol" w:cs="OpenSymbol"/>
    </w:rPr>
  </w:style>
  <w:style w:type="character" w:styleId="Style22">
    <w:name w:val="Цветовое выделение для Текст"/>
    <w:qFormat/>
    <w:rPr/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e72da7"/>
    <w:pPr>
      <w:spacing w:lineRule="auto" w:line="240" w:before="0" w:after="0"/>
    </w:pPr>
    <w:rPr>
      <w:rFonts w:ascii="Calibri" w:hAnsi="Calibri" w:eastAsia="Calibri" w:cs="Times New Roman"/>
      <w:szCs w:val="21"/>
    </w:rPr>
  </w:style>
  <w:style w:type="paragraph" w:styleId="Style25">
    <w:name w:val="Колонтитул"/>
    <w:basedOn w:val="Normal"/>
    <w:qFormat/>
    <w:pPr/>
    <w:rPr/>
  </w:style>
  <w:style w:type="paragraph" w:styleId="Footer">
    <w:name w:val="Footer"/>
    <w:basedOn w:val="Normal"/>
    <w:link w:val="Style15"/>
    <w:uiPriority w:val="99"/>
    <w:rsid w:val="0095344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Style16"/>
    <w:semiHidden/>
    <w:unhideWhenUsed/>
    <w:qFormat/>
    <w:rsid w:val="009277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Style17"/>
    <w:uiPriority w:val="99"/>
    <w:unhideWhenUsed/>
    <w:rsid w:val="0031799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Title" w:customStyle="1">
    <w:name w:val="ConsPlusTitle"/>
    <w:uiPriority w:val="99"/>
    <w:qFormat/>
    <w:rsid w:val="00a346f0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a346f0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6" w:customStyle="1">
    <w:name w:val="Комментарий"/>
    <w:basedOn w:val="Normal"/>
    <w:next w:val="Normal"/>
    <w:qFormat/>
    <w:rsid w:val="00a346f0"/>
    <w:pPr>
      <w:spacing w:lineRule="auto" w:line="240" w:before="0" w:after="0"/>
      <w:ind w:left="170"/>
      <w:jc w:val="both"/>
    </w:pPr>
    <w:rPr>
      <w:rFonts w:ascii="Arial" w:hAnsi="Arial" w:eastAsia="Times New Roman" w:cs="Times New Roman"/>
      <w:i/>
      <w:iCs/>
      <w:color w:val="800080"/>
      <w:sz w:val="20"/>
      <w:szCs w:val="20"/>
      <w:lang w:eastAsia="ru-RU"/>
    </w:rPr>
  </w:style>
  <w:style w:type="paragraph" w:styleId="EndnoteText">
    <w:name w:val="Endnote Text"/>
    <w:basedOn w:val="Normal"/>
    <w:link w:val="Style19"/>
    <w:rsid w:val="00a346f0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ConsPlusNonformat" w:customStyle="1">
    <w:name w:val="ConsPlusNonformat"/>
    <w:uiPriority w:val="99"/>
    <w:qFormat/>
    <w:rsid w:val="00a346f0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rsid w:val="00a346f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a346f0"/>
    <w:pPr>
      <w:spacing w:lineRule="auto" w:line="240" w:before="0" w:after="0"/>
      <w:ind w:left="720"/>
      <w:contextualSpacing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C1" w:customStyle="1">
    <w:name w:val="c1"/>
    <w:basedOn w:val="Normal"/>
    <w:qFormat/>
    <w:rsid w:val="00010bc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ab3ec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03353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03353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6D89F983377779CAE289AA25071C6E519B046E72FC7E8B0BBEA368FF83CF20ECD41E9B7C26574B2EA9B63BE4DHF6EV" TargetMode="External"/><Relationship Id="rId3" Type="http://schemas.openxmlformats.org/officeDocument/2006/relationships/hyperlink" Target="https://vk.com/vgo_adm" TargetMode="External"/><Relationship Id="rId4" Type="http://schemas.openxmlformats.org/officeDocument/2006/relationships/hyperlink" Target="https://vk.com/club222025243" TargetMode="External"/><Relationship Id="rId5" Type="http://schemas.openxmlformats.org/officeDocument/2006/relationships/hyperlink" Target="https://vk.com/vil2ru" TargetMode="External"/><Relationship Id="rId6" Type="http://schemas.openxmlformats.org/officeDocument/2006/relationships/hyperlink" Target="https://bus.gov.ru/" TargetMode="External"/><Relationship Id="rId7" Type="http://schemas.openxmlformats.org/officeDocument/2006/relationships/hyperlink" Target="consultantplus://offline/ref=66D89F983377779CAE289AA25071C6E519BD4DEB20C1E8B0BBEA368FF83CF20ECD41E9B7C26574B2EA9B63BE4DHF6EV" TargetMode="External"/><Relationship Id="rId8" Type="http://schemas.openxmlformats.org/officeDocument/2006/relationships/hyperlink" Target="consultantplus://offline/ref=66D89F983377779CAE289AA25071C6E519BD4DEB20C1E8B0BBEA368FF83CF20ECD41E9B7C26574B2EA9B63BE4DHF6EV" TargetMode="External"/><Relationship Id="rId9" Type="http://schemas.openxmlformats.org/officeDocument/2006/relationships/hyperlink" Target="https://viluchinsk-city.ru/" TargetMode="External"/><Relationship Id="rId10" Type="http://schemas.openxmlformats.org/officeDocument/2006/relationships/header" Target="head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BD2CC-8A67-4CF4-A759-1036E517B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6701</TotalTime>
  <Application>LibreOffice/7.6.7.2$Linux_X86_64 LibreOffice_project/60$Build-2</Application>
  <AppVersion>15.0000</AppVersion>
  <Pages>15</Pages>
  <Words>4600</Words>
  <Characters>34796</Characters>
  <CharactersWithSpaces>39321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2021-10-20T04:19:00Z</dcterms:created>
  <dc:creator>Киселев Виктор Вадимович</dc:creator>
  <dc:description/>
  <dc:language>ru-RU</dc:language>
  <cp:lastModifiedBy/>
  <cp:lastPrinted>2022-12-27T02:25:00Z</cp:lastPrinted>
  <dcterms:modified xsi:type="dcterms:W3CDTF">2024-12-25T17:35:28Z</dcterms:modified>
  <cp:revision>130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