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Анкета для участников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noHBand="0" w:noVBand="1" w:firstColumn="1" w:lastRow="0" w:lastColumn="0" w:firstRow="1"/>
      </w:tblPr>
      <w:tblGrid>
        <w:gridCol w:w="3432"/>
        <w:gridCol w:w="6138"/>
      </w:tblGrid>
      <w:tr>
        <w:trPr/>
        <w:tc>
          <w:tcPr>
            <w:tcW w:w="9570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tabs>
                <w:tab w:val="clear" w:pos="708"/>
                <w:tab w:val="left" w:pos="3064" w:leader="none"/>
                <w:tab w:val="center" w:pos="487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 возможности, укажите:</w:t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организации: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Сферу деятельности организации: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Ф.И.О. контактного лица: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Номер телефона: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32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электронной почты:</w:t>
            </w:r>
          </w:p>
        </w:tc>
        <w:tc>
          <w:tcPr>
            <w:tcW w:w="613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Публичные консультации</w:t>
      </w:r>
    </w:p>
    <w:p>
      <w:pPr>
        <w:pStyle w:val="Normal"/>
        <w:spacing w:lineRule="auto" w:line="240" w:before="0" w:after="36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 проекту нормативного правового акта в рамках проведения оценки регулирующего воздействия</w:t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4838"/>
        <w:gridCol w:w="4732"/>
      </w:tblGrid>
      <w:tr>
        <w:trPr/>
        <w:tc>
          <w:tcPr>
            <w:tcW w:w="4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 направления информации – не позднее:</w:t>
            </w:r>
          </w:p>
        </w:tc>
        <w:tc>
          <w:tcPr>
            <w:tcW w:w="4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29.05.206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.2025</w:t>
            </w:r>
          </w:p>
        </w:tc>
      </w:tr>
      <w:tr>
        <w:trPr/>
        <w:tc>
          <w:tcPr>
            <w:tcW w:w="4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электронной почты для направления информации:</w:t>
            </w:r>
          </w:p>
        </w:tc>
        <w:tc>
          <w:tcPr>
            <w:tcW w:w="4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investvgo@viladm.ru</w:t>
            </w:r>
          </w:p>
        </w:tc>
      </w:tr>
      <w:tr>
        <w:trPr/>
        <w:tc>
          <w:tcPr>
            <w:tcW w:w="4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Контактное лицо</w:t>
            </w:r>
          </w:p>
        </w:tc>
        <w:tc>
          <w:tcPr>
            <w:tcW w:w="473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Загальская Дарья Витальевна</w:t>
            </w:r>
          </w:p>
        </w:tc>
      </w:tr>
    </w:tbl>
    <w:p>
      <w:pPr>
        <w:pStyle w:val="Normal"/>
        <w:spacing w:before="360" w:after="200"/>
        <w:ind w:firstLine="709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Общие сведения о проекте нормативного правового акта:</w:t>
      </w:r>
    </w:p>
    <w:tbl>
      <w:tblPr>
        <w:tblStyle w:val="2"/>
        <w:tblW w:w="9571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714"/>
        <w:gridCol w:w="6856"/>
      </w:tblGrid>
      <w:tr>
        <w:trPr/>
        <w:tc>
          <w:tcPr>
            <w:tcW w:w="271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Сфера муниципального регулирования:</w:t>
            </w:r>
          </w:p>
        </w:tc>
        <w:tc>
          <w:tcPr>
            <w:tcW w:w="68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Муниципальное регулирование направлено на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упорядочение п</w:t>
            </w: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</w:t>
            </w:r>
          </w:p>
        </w:tc>
      </w:tr>
      <w:tr>
        <w:trPr/>
        <w:tc>
          <w:tcPr>
            <w:tcW w:w="271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и наименование:</w:t>
            </w:r>
          </w:p>
        </w:tc>
        <w:tc>
          <w:tcPr>
            <w:tcW w:w="68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 xml:space="preserve">Проект постановления администрации Вилючинского городского округа </w:t>
            </w:r>
            <w:r>
              <w:rPr>
                <w:rFonts w:eastAsia="Calibri" w:cs="Times New Roman" w:ascii="Times New Roman" w:hAnsi="Times New Roman"/>
                <w:bCs/>
                <w:i/>
                <w:kern w:val="0"/>
                <w:sz w:val="28"/>
                <w:szCs w:val="28"/>
                <w:lang w:val="ru-RU" w:eastAsia="en-US" w:bidi="ar-SA"/>
              </w:rPr>
              <w:t>«Об утверждении Порядка предоставления субсидии в целях финансового обеспечения затрат, связанных с производством и реализацией хлеба и хлебобулочных изделий на территории Вилючинского городского округа»</w:t>
            </w:r>
          </w:p>
        </w:tc>
      </w:tr>
      <w:tr>
        <w:trPr/>
        <w:tc>
          <w:tcPr>
            <w:tcW w:w="271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ID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www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viluchinsk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city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ru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/:</w:t>
            </w:r>
          </w:p>
        </w:tc>
        <w:tc>
          <w:tcPr>
            <w:tcW w:w="68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https://viluchinsk-city.ru/economic/invest/ocenka%20reguliruemogo%20vozde.php</w:t>
            </w:r>
          </w:p>
        </w:tc>
      </w:tr>
    </w:tbl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Вопросы:</w:t>
      </w:r>
    </w:p>
    <w:tbl>
      <w:tblPr>
        <w:tblStyle w:val="2"/>
        <w:tblW w:w="9606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val="04a0" w:noHBand="0" w:noVBand="1" w:firstColumn="1" w:lastRow="0" w:lastColumn="0" w:firstRow="1"/>
      </w:tblPr>
      <w:tblGrid>
        <w:gridCol w:w="9606"/>
      </w:tblGrid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решение какой проблемы, на Ваш взгляд, направлено предлагаемое муниципальное регулирование? Актуальна ли данная проблема сегодня?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Насколько корректно разработчик обосновал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муниципального регулирования? Если да - выделите те из них, которые, по Вашему мнению, были бы менее затратны и (или) более эффективны.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Какие, по Вашей оценке, субъекты предпринимательской и инвестиционной деятельности будут затронуты предлагаемым муниципальным регулированием?  (по видам субъектов, по отраслям, по количеству таких субъектов в Вилючинском городском округе).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ответственными исполнительными органами муниципального управления,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имеются ли технические ошибки;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приводит ли исполнение положений муниципального регулирования к избыточным действиям или, наоборот, ограничивает действия физических и юридических лиц в сфере предпринимательской и инвестиционной деятельности;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поставщиков, или потребителей;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создает ли исполнение положений муниципального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муниципальным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 каким последствиям может привести принятие нового муниципального регулирования в части невозможности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для физических и юридических лиц в сфере предпринимательской и инвестиционной деятельности? Приведите конкретные примеры.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Оцените издержки (упущенную выгоду (прямого, административного характера) физических и юридических лиц в сфере предпринимательской и инвестиционной деятельности, возникающие при введении предлагаемого регулирования.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Отдельно укажите временные издержки,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муниципального регулирования.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муниципальное регулирование недискриминационным по отношению ко всем его адресатам, то есть все ли потенциальные адресаты муниципального регулирования окажутся в одинаковых условиях после его введения?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Предусмотрен ли в нем механизм защиты прав хозяйствующих субъектов?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Существуют ли, на Ваш взгляд, особенности при контроле соблюдения требований вновь вводимого муниципального регулирования различными группами адресатов регулирования?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Требуется ли переходный период для вступления в силу предлагаемого муниципального регулирования (если да, какова его продолжительность), какие ограничения по срокам введения нового муниципального регулирования необходимо учесть?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Какие, на Ваш взгляд, целесообразно применить исключения по введению муниципального регулирования в отношении отдельных групп лиц? Приведите соответствующее обоснование.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shd w:fill="F2F2F2" w:val="clear"/>
                <w:lang w:val="ru-RU" w:eastAsia="en-US" w:bidi="ar-SA"/>
              </w:rPr>
              <w:t>Специальные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прояснить?</w:t>
            </w:r>
          </w:p>
        </w:tc>
      </w:tr>
      <w:tr>
        <w:trPr>
          <w:cantSplit w:val="true"/>
        </w:trPr>
        <w:tc>
          <w:tcPr>
            <w:tcW w:w="9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>
        <w:trPr>
          <w:cantSplit w:val="true"/>
        </w:trPr>
        <w:tc>
          <w:tcPr>
            <w:tcW w:w="960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Autospacing="1"/>
        <w:jc w:val="both"/>
        <w:rPr>
          <w:rFonts w:ascii="Calibri" w:hAnsi="Calibri" w:eastAsia="Calibri" w:cs="Times New Roman"/>
        </w:rPr>
      </w:pPr>
      <w:r>
        <w:rPr>
          <w:rFonts w:eastAsia="Calibri" w:cs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0e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50eb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250eb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50e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250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250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LibreOffice/7.6.7.2$Linux_X86_64 LibreOffice_project/60$Build-2</Application>
  <AppVersion>15.0000</AppVersion>
  <Pages>5</Pages>
  <Words>799</Words>
  <Characters>6292</Characters>
  <CharactersWithSpaces>7073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2017-10-25T05:06:00Z</dcterms:created>
  <dc:creator>Дария В. Загальская</dc:creator>
  <dc:description/>
  <dc:language>ru-RU</dc:language>
  <cp:lastModifiedBy/>
  <cp:lastPrinted>2023-03-02T03:23:00Z</cp:lastPrinted>
  <dcterms:modified xsi:type="dcterms:W3CDTF">2026-07-17T12:35:09Z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